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F67F" w14:textId="77777777" w:rsidR="003747B2" w:rsidRDefault="003747B2" w:rsidP="003747B2">
      <w:pPr>
        <w:pStyle w:val="Bezproreda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</w:t>
      </w:r>
      <w:r>
        <w:rPr>
          <w:noProof/>
          <w:lang w:eastAsia="hr-HR"/>
        </w:rPr>
        <w:drawing>
          <wp:inline distT="0" distB="0" distL="0" distR="0" wp14:anchorId="1BC5953A" wp14:editId="05FA8E51">
            <wp:extent cx="323850" cy="380727"/>
            <wp:effectExtent l="0" t="0" r="0" b="0"/>
            <wp:docPr id="3" name="Slika 3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simbol, crveno, zastava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3029" cy="41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63077" w14:textId="77777777" w:rsidR="003747B2" w:rsidRPr="00EE6AE8" w:rsidRDefault="003747B2" w:rsidP="003747B2">
      <w:pPr>
        <w:pStyle w:val="Bezproreda"/>
        <w:rPr>
          <w:rFonts w:ascii="Cambria" w:hAnsi="Cambria"/>
          <w:b/>
          <w:sz w:val="24"/>
          <w:szCs w:val="24"/>
        </w:rPr>
      </w:pPr>
      <w:r w:rsidRPr="00EE6AE8">
        <w:rPr>
          <w:rFonts w:ascii="Cambria" w:hAnsi="Cambria"/>
          <w:b/>
          <w:sz w:val="24"/>
          <w:szCs w:val="24"/>
        </w:rPr>
        <w:t>REPUBLIKA HRVATSKA</w:t>
      </w:r>
    </w:p>
    <w:p w14:paraId="56DE2643" w14:textId="77777777" w:rsidR="003747B2" w:rsidRPr="00EE6AE8" w:rsidRDefault="003747B2" w:rsidP="003747B2">
      <w:pPr>
        <w:pStyle w:val="Bezproreda"/>
        <w:rPr>
          <w:rFonts w:ascii="Cambria" w:hAnsi="Cambria"/>
          <w:b/>
          <w:sz w:val="24"/>
          <w:szCs w:val="24"/>
        </w:rPr>
      </w:pPr>
      <w:r w:rsidRPr="00EE6AE8">
        <w:rPr>
          <w:rFonts w:ascii="Cambria" w:hAnsi="Cambria"/>
          <w:b/>
          <w:sz w:val="24"/>
          <w:szCs w:val="24"/>
        </w:rPr>
        <w:t>ZAGREBAČKA ŽUPANIJA</w:t>
      </w:r>
    </w:p>
    <w:p w14:paraId="236EBACC" w14:textId="77777777" w:rsidR="003747B2" w:rsidRPr="00EE6AE8" w:rsidRDefault="003747B2" w:rsidP="003747B2">
      <w:pPr>
        <w:pStyle w:val="Bezproreda"/>
        <w:rPr>
          <w:rFonts w:ascii="Cambria" w:hAnsi="Cambria"/>
          <w:b/>
          <w:sz w:val="24"/>
          <w:szCs w:val="24"/>
        </w:rPr>
      </w:pPr>
      <w:r w:rsidRPr="00EE6AE8">
        <w:rPr>
          <w:rFonts w:ascii="Cambria" w:hAnsi="Cambria"/>
          <w:b/>
          <w:sz w:val="24"/>
          <w:szCs w:val="24"/>
        </w:rPr>
        <w:t>O</w:t>
      </w:r>
      <w:r>
        <w:rPr>
          <w:rFonts w:ascii="Cambria" w:hAnsi="Cambria"/>
          <w:b/>
          <w:sz w:val="24"/>
          <w:szCs w:val="24"/>
        </w:rPr>
        <w:t>SNOVNA ŠKOLA</w:t>
      </w:r>
      <w:r w:rsidRPr="00EE6AE8">
        <w:rPr>
          <w:rFonts w:ascii="Cambria" w:hAnsi="Cambria"/>
          <w:b/>
          <w:sz w:val="24"/>
          <w:szCs w:val="24"/>
        </w:rPr>
        <w:t xml:space="preserve"> “STJEPAN RADIĆ”</w:t>
      </w:r>
    </w:p>
    <w:p w14:paraId="6A00F182" w14:textId="77777777" w:rsidR="003747B2" w:rsidRPr="00966AC6" w:rsidRDefault="003747B2" w:rsidP="003747B2">
      <w:pPr>
        <w:pStyle w:val="Bezproreda"/>
        <w:rPr>
          <w:rFonts w:ascii="Cambria" w:hAnsi="Cambria"/>
          <w:bCs/>
          <w:sz w:val="24"/>
          <w:szCs w:val="24"/>
        </w:rPr>
      </w:pPr>
      <w:r w:rsidRPr="00966AC6">
        <w:rPr>
          <w:rFonts w:ascii="Cambria" w:hAnsi="Cambria"/>
          <w:bCs/>
          <w:sz w:val="24"/>
          <w:szCs w:val="24"/>
        </w:rPr>
        <w:t>BOŽJAKOVINA</w:t>
      </w:r>
    </w:p>
    <w:p w14:paraId="413DFA6B" w14:textId="77777777" w:rsidR="003747B2" w:rsidRDefault="003747B2" w:rsidP="003747B2">
      <w:pPr>
        <w:pStyle w:val="Bezproreda"/>
        <w:rPr>
          <w:rFonts w:ascii="Cambria" w:hAnsi="Cambria"/>
          <w:bCs/>
          <w:sz w:val="24"/>
          <w:szCs w:val="24"/>
        </w:rPr>
      </w:pPr>
      <w:r w:rsidRPr="00966AC6">
        <w:rPr>
          <w:rFonts w:ascii="Cambria" w:hAnsi="Cambria"/>
          <w:bCs/>
          <w:sz w:val="24"/>
          <w:szCs w:val="24"/>
        </w:rPr>
        <w:t>DOMAĆINSKA 1</w:t>
      </w:r>
    </w:p>
    <w:p w14:paraId="01BCADD2" w14:textId="77777777" w:rsidR="003747B2" w:rsidRDefault="003747B2" w:rsidP="003747B2">
      <w:pPr>
        <w:pStyle w:val="Bezproreda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10370 DUGO SELO</w:t>
      </w:r>
    </w:p>
    <w:p w14:paraId="3E6507B0" w14:textId="77777777" w:rsidR="003747B2" w:rsidRPr="00D95A14" w:rsidRDefault="003747B2" w:rsidP="003747B2">
      <w:pPr>
        <w:rPr>
          <w:rFonts w:ascii="Cambria" w:hAnsi="Cambria" w:cstheme="minorHAnsi"/>
          <w:sz w:val="24"/>
          <w:szCs w:val="24"/>
        </w:rPr>
      </w:pPr>
      <w:r w:rsidRPr="007402BB">
        <w:rPr>
          <w:rFonts w:ascii="Cambria" w:hAnsi="Cambria" w:cstheme="minorHAnsi"/>
          <w:sz w:val="24"/>
          <w:szCs w:val="24"/>
        </w:rPr>
        <w:t>OIB:88416031045</w:t>
      </w:r>
    </w:p>
    <w:p w14:paraId="16A03782" w14:textId="77777777" w:rsidR="003747B2" w:rsidRPr="007402BB" w:rsidRDefault="003747B2" w:rsidP="003747B2">
      <w:pPr>
        <w:rPr>
          <w:rFonts w:ascii="Cambria" w:hAnsi="Cambria" w:cstheme="minorHAnsi"/>
          <w:sz w:val="24"/>
          <w:szCs w:val="24"/>
        </w:rPr>
      </w:pPr>
      <w:r w:rsidRPr="007402BB">
        <w:rPr>
          <w:rFonts w:ascii="Cambria" w:hAnsi="Cambria" w:cstheme="minorHAnsi"/>
          <w:sz w:val="24"/>
          <w:szCs w:val="24"/>
        </w:rPr>
        <w:t>RKDP:14234</w:t>
      </w:r>
    </w:p>
    <w:p w14:paraId="15712C2C" w14:textId="77777777" w:rsidR="003747B2" w:rsidRPr="00EE6AE8" w:rsidRDefault="003747B2" w:rsidP="003747B2">
      <w:pPr>
        <w:pStyle w:val="Bezproreda"/>
        <w:rPr>
          <w:rFonts w:ascii="Cambria" w:hAnsi="Cambria"/>
          <w:b/>
          <w:sz w:val="24"/>
          <w:szCs w:val="24"/>
        </w:rPr>
      </w:pPr>
    </w:p>
    <w:p w14:paraId="31B85BC4" w14:textId="530D18E2" w:rsidR="003747B2" w:rsidRDefault="003747B2" w:rsidP="003747B2">
      <w:pPr>
        <w:pStyle w:val="Bezprored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Božjakovina, </w:t>
      </w:r>
      <w:r w:rsidR="00EC7466">
        <w:rPr>
          <w:rFonts w:ascii="Cambria" w:hAnsi="Cambria"/>
          <w:sz w:val="24"/>
          <w:szCs w:val="24"/>
        </w:rPr>
        <w:t>__</w:t>
      </w:r>
      <w:r>
        <w:rPr>
          <w:rFonts w:ascii="Cambria" w:hAnsi="Cambria"/>
          <w:sz w:val="24"/>
          <w:szCs w:val="24"/>
        </w:rPr>
        <w:t xml:space="preserve">. </w:t>
      </w:r>
      <w:r w:rsidR="002256C7">
        <w:rPr>
          <w:rFonts w:ascii="Cambria" w:hAnsi="Cambria"/>
          <w:sz w:val="24"/>
          <w:szCs w:val="24"/>
        </w:rPr>
        <w:t>ožujka</w:t>
      </w:r>
      <w:r w:rsidR="00EC746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202</w:t>
      </w:r>
      <w:r w:rsidR="00654A06">
        <w:rPr>
          <w:rFonts w:ascii="Cambria" w:hAnsi="Cambria"/>
          <w:sz w:val="24"/>
          <w:szCs w:val="24"/>
        </w:rPr>
        <w:t>6</w:t>
      </w:r>
      <w:r w:rsidRPr="00EE6AE8">
        <w:rPr>
          <w:rFonts w:ascii="Cambria" w:hAnsi="Cambria"/>
          <w:sz w:val="24"/>
          <w:szCs w:val="24"/>
        </w:rPr>
        <w:t xml:space="preserve">. godine </w:t>
      </w:r>
    </w:p>
    <w:p w14:paraId="1B5C4083" w14:textId="77777777" w:rsidR="003747B2" w:rsidRDefault="003747B2" w:rsidP="004942E2">
      <w:pPr>
        <w:spacing w:after="120"/>
        <w:rPr>
          <w:rFonts w:ascii="Cambria" w:hAnsi="Cambria" w:cstheme="minorHAnsi"/>
          <w:b/>
          <w:sz w:val="24"/>
          <w:szCs w:val="24"/>
        </w:rPr>
      </w:pPr>
    </w:p>
    <w:p w14:paraId="1AF4C983" w14:textId="77777777" w:rsidR="003747B2" w:rsidRDefault="003747B2" w:rsidP="004942E2">
      <w:pPr>
        <w:spacing w:after="120"/>
        <w:rPr>
          <w:rFonts w:ascii="Cambria" w:hAnsi="Cambria" w:cstheme="minorHAnsi"/>
          <w:b/>
          <w:sz w:val="24"/>
          <w:szCs w:val="24"/>
        </w:rPr>
      </w:pPr>
    </w:p>
    <w:p w14:paraId="1D871E64" w14:textId="77777777" w:rsidR="003747B2" w:rsidRDefault="003747B2" w:rsidP="004942E2">
      <w:pPr>
        <w:spacing w:after="120"/>
        <w:rPr>
          <w:rFonts w:ascii="Cambria" w:hAnsi="Cambria" w:cstheme="minorHAnsi"/>
          <w:b/>
          <w:sz w:val="24"/>
          <w:szCs w:val="24"/>
        </w:rPr>
      </w:pPr>
    </w:p>
    <w:p w14:paraId="2EB2D9F2" w14:textId="73478034" w:rsidR="004942E2" w:rsidRPr="004942E2" w:rsidRDefault="003747B2" w:rsidP="003747B2">
      <w:pPr>
        <w:spacing w:after="120"/>
        <w:jc w:val="center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 xml:space="preserve">OBRAZLOŽENJE GODIŠNJEG IZVJEŠTAJA O IZVRŠENJU FINANCIJSKOG PLANA ZA </w:t>
      </w:r>
      <w:r w:rsidR="004942E2" w:rsidRPr="004942E2">
        <w:rPr>
          <w:rFonts w:ascii="Cambria" w:hAnsi="Cambria" w:cstheme="minorHAnsi"/>
          <w:b/>
          <w:sz w:val="24"/>
          <w:szCs w:val="24"/>
        </w:rPr>
        <w:t xml:space="preserve"> 202</w:t>
      </w:r>
      <w:r w:rsidR="00654A06">
        <w:rPr>
          <w:rFonts w:ascii="Cambria" w:hAnsi="Cambria" w:cstheme="minorHAnsi"/>
          <w:b/>
          <w:sz w:val="24"/>
          <w:szCs w:val="24"/>
        </w:rPr>
        <w:t>5</w:t>
      </w:r>
      <w:r w:rsidR="004942E2" w:rsidRPr="004942E2">
        <w:rPr>
          <w:rFonts w:ascii="Cambria" w:hAnsi="Cambria" w:cstheme="minorHAnsi"/>
          <w:b/>
          <w:sz w:val="24"/>
          <w:szCs w:val="24"/>
        </w:rPr>
        <w:t>.</w:t>
      </w:r>
      <w:r w:rsidR="00F064C0">
        <w:rPr>
          <w:rFonts w:ascii="Cambria" w:hAnsi="Cambria" w:cstheme="minorHAnsi"/>
          <w:b/>
          <w:sz w:val="24"/>
          <w:szCs w:val="24"/>
        </w:rPr>
        <w:t xml:space="preserve"> </w:t>
      </w:r>
      <w:r>
        <w:rPr>
          <w:rFonts w:ascii="Cambria" w:hAnsi="Cambria" w:cstheme="minorHAnsi"/>
          <w:b/>
          <w:sz w:val="24"/>
          <w:szCs w:val="24"/>
        </w:rPr>
        <w:t>GODIN</w:t>
      </w:r>
      <w:r w:rsidR="00FD1AA6">
        <w:rPr>
          <w:rFonts w:ascii="Cambria" w:hAnsi="Cambria" w:cstheme="minorHAnsi"/>
          <w:b/>
          <w:sz w:val="24"/>
          <w:szCs w:val="24"/>
        </w:rPr>
        <w:t>U</w:t>
      </w:r>
    </w:p>
    <w:p w14:paraId="1E5FE7AB" w14:textId="27BAF295" w:rsidR="004942E2" w:rsidRPr="004942E2" w:rsidRDefault="003747B2" w:rsidP="003747B2">
      <w:pPr>
        <w:pStyle w:val="Odlomakpopisa"/>
        <w:shd w:val="clear" w:color="auto" w:fill="FFFFFF"/>
        <w:ind w:left="1780"/>
        <w:rPr>
          <w:rFonts w:ascii="Cambria" w:hAnsi="Cambria" w:cstheme="minorHAnsi"/>
          <w:bCs/>
          <w:sz w:val="24"/>
          <w:szCs w:val="24"/>
        </w:rPr>
      </w:pPr>
      <w:r>
        <w:rPr>
          <w:rFonts w:ascii="Cambria" w:hAnsi="Cambria" w:cstheme="minorHAnsi"/>
          <w:bCs/>
          <w:sz w:val="24"/>
          <w:szCs w:val="24"/>
        </w:rPr>
        <w:t xml:space="preserve">           </w:t>
      </w:r>
      <w:r w:rsidR="004942E2" w:rsidRPr="004942E2">
        <w:rPr>
          <w:rFonts w:ascii="Cambria" w:hAnsi="Cambria" w:cstheme="minorHAnsi"/>
          <w:bCs/>
          <w:sz w:val="24"/>
          <w:szCs w:val="24"/>
        </w:rPr>
        <w:t>razdoblje 01.01.202</w:t>
      </w:r>
      <w:r w:rsidR="00654A06">
        <w:rPr>
          <w:rFonts w:ascii="Cambria" w:hAnsi="Cambria" w:cstheme="minorHAnsi"/>
          <w:bCs/>
          <w:sz w:val="24"/>
          <w:szCs w:val="24"/>
        </w:rPr>
        <w:t>5</w:t>
      </w:r>
      <w:r w:rsidR="004942E2" w:rsidRPr="004942E2">
        <w:rPr>
          <w:rFonts w:ascii="Cambria" w:hAnsi="Cambria" w:cstheme="minorHAnsi"/>
          <w:bCs/>
          <w:sz w:val="24"/>
          <w:szCs w:val="24"/>
        </w:rPr>
        <w:t>. – 3</w:t>
      </w:r>
      <w:r w:rsidR="00914FE1">
        <w:rPr>
          <w:rFonts w:ascii="Cambria" w:hAnsi="Cambria" w:cstheme="minorHAnsi"/>
          <w:bCs/>
          <w:sz w:val="24"/>
          <w:szCs w:val="24"/>
        </w:rPr>
        <w:t>1</w:t>
      </w:r>
      <w:r w:rsidR="004942E2" w:rsidRPr="004942E2">
        <w:rPr>
          <w:rFonts w:ascii="Cambria" w:hAnsi="Cambria" w:cstheme="minorHAnsi"/>
          <w:bCs/>
          <w:sz w:val="24"/>
          <w:szCs w:val="24"/>
        </w:rPr>
        <w:t>.</w:t>
      </w:r>
      <w:r w:rsidR="00914FE1">
        <w:rPr>
          <w:rFonts w:ascii="Cambria" w:hAnsi="Cambria" w:cstheme="minorHAnsi"/>
          <w:bCs/>
          <w:sz w:val="24"/>
          <w:szCs w:val="24"/>
        </w:rPr>
        <w:t>12</w:t>
      </w:r>
      <w:r w:rsidR="004942E2" w:rsidRPr="004942E2">
        <w:rPr>
          <w:rFonts w:ascii="Cambria" w:hAnsi="Cambria" w:cstheme="minorHAnsi"/>
          <w:bCs/>
          <w:sz w:val="24"/>
          <w:szCs w:val="24"/>
        </w:rPr>
        <w:t>.202</w:t>
      </w:r>
      <w:r w:rsidR="00654A06">
        <w:rPr>
          <w:rFonts w:ascii="Cambria" w:hAnsi="Cambria" w:cstheme="minorHAnsi"/>
          <w:bCs/>
          <w:sz w:val="24"/>
          <w:szCs w:val="24"/>
        </w:rPr>
        <w:t>5</w:t>
      </w:r>
      <w:r w:rsidR="004942E2" w:rsidRPr="004942E2">
        <w:rPr>
          <w:rFonts w:ascii="Cambria" w:hAnsi="Cambria" w:cstheme="minorHAnsi"/>
          <w:bCs/>
          <w:sz w:val="24"/>
          <w:szCs w:val="24"/>
        </w:rPr>
        <w:t>.</w:t>
      </w:r>
    </w:p>
    <w:p w14:paraId="0CD27461" w14:textId="77777777" w:rsidR="003747B2" w:rsidRDefault="003747B2" w:rsidP="004942E2">
      <w:pPr>
        <w:jc w:val="both"/>
        <w:rPr>
          <w:rFonts w:ascii="Cambria" w:hAnsi="Cambria" w:cstheme="minorHAnsi"/>
          <w:b/>
          <w:sz w:val="24"/>
          <w:szCs w:val="24"/>
        </w:rPr>
      </w:pPr>
    </w:p>
    <w:p w14:paraId="60473AEC" w14:textId="4847FD6F" w:rsidR="004942E2" w:rsidRPr="004942E2" w:rsidRDefault="004942E2" w:rsidP="004942E2">
      <w:pPr>
        <w:jc w:val="both"/>
        <w:rPr>
          <w:rFonts w:ascii="Cambria" w:hAnsi="Cambria" w:cstheme="minorHAnsi"/>
          <w:b/>
          <w:sz w:val="24"/>
          <w:szCs w:val="24"/>
        </w:rPr>
      </w:pPr>
      <w:r w:rsidRPr="004942E2">
        <w:rPr>
          <w:rFonts w:ascii="Cambria" w:hAnsi="Cambria" w:cstheme="minorHAnsi"/>
          <w:b/>
          <w:sz w:val="24"/>
          <w:szCs w:val="24"/>
        </w:rPr>
        <w:t xml:space="preserve"> </w:t>
      </w:r>
    </w:p>
    <w:p w14:paraId="63228892" w14:textId="1B4B5AD3" w:rsidR="00993EA9" w:rsidRDefault="004942E2" w:rsidP="008B0635">
      <w:pPr>
        <w:pStyle w:val="Bezproreda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4942E2">
        <w:rPr>
          <w:rFonts w:ascii="Cambria" w:hAnsi="Cambria" w:cstheme="minorHAnsi"/>
          <w:sz w:val="24"/>
          <w:szCs w:val="24"/>
        </w:rPr>
        <w:t xml:space="preserve">Obveza izrade </w:t>
      </w:r>
      <w:r w:rsidR="00993EA9">
        <w:rPr>
          <w:rFonts w:ascii="Cambria" w:hAnsi="Cambria" w:cstheme="minorHAnsi"/>
          <w:sz w:val="24"/>
          <w:szCs w:val="24"/>
        </w:rPr>
        <w:t xml:space="preserve">i usvajanja </w:t>
      </w:r>
      <w:r w:rsidRPr="004942E2">
        <w:rPr>
          <w:rFonts w:ascii="Cambria" w:hAnsi="Cambria" w:cstheme="minorHAnsi"/>
          <w:sz w:val="24"/>
          <w:szCs w:val="24"/>
        </w:rPr>
        <w:t xml:space="preserve">polugodišnjeg i godišnjeg izvještaja o izvršenju financijskog plana proračunskih korisnika  </w:t>
      </w:r>
      <w:r w:rsidR="00993EA9">
        <w:rPr>
          <w:rFonts w:ascii="Cambria" w:hAnsi="Cambria" w:cstheme="minorHAnsi"/>
          <w:sz w:val="24"/>
          <w:szCs w:val="24"/>
        </w:rPr>
        <w:t xml:space="preserve">propisana je </w:t>
      </w:r>
      <w:r w:rsidRPr="004942E2">
        <w:rPr>
          <w:rFonts w:ascii="Cambria" w:hAnsi="Cambria" w:cstheme="minorHAnsi"/>
          <w:sz w:val="24"/>
          <w:szCs w:val="24"/>
        </w:rPr>
        <w:t>čl</w:t>
      </w:r>
      <w:r w:rsidR="00993EA9">
        <w:rPr>
          <w:rFonts w:ascii="Cambria" w:hAnsi="Cambria" w:cstheme="minorHAnsi"/>
          <w:sz w:val="24"/>
          <w:szCs w:val="24"/>
        </w:rPr>
        <w:t xml:space="preserve">ancima </w:t>
      </w:r>
      <w:r w:rsidR="00DA783C">
        <w:rPr>
          <w:rFonts w:ascii="Cambria" w:hAnsi="Cambria" w:cstheme="minorHAnsi"/>
          <w:sz w:val="24"/>
          <w:szCs w:val="24"/>
        </w:rPr>
        <w:t xml:space="preserve"> </w:t>
      </w:r>
      <w:r w:rsidRPr="004942E2">
        <w:rPr>
          <w:rFonts w:ascii="Cambria" w:hAnsi="Cambria" w:cstheme="minorHAnsi"/>
          <w:sz w:val="24"/>
          <w:szCs w:val="24"/>
        </w:rPr>
        <w:t>81</w:t>
      </w:r>
      <w:r w:rsidR="00993EA9">
        <w:rPr>
          <w:rFonts w:ascii="Cambria" w:hAnsi="Cambria" w:cstheme="minorHAnsi"/>
          <w:sz w:val="24"/>
          <w:szCs w:val="24"/>
        </w:rPr>
        <w:t>.-86.</w:t>
      </w:r>
      <w:r w:rsidRPr="004942E2">
        <w:rPr>
          <w:rFonts w:ascii="Cambria" w:hAnsi="Cambria" w:cstheme="minorHAnsi"/>
          <w:sz w:val="24"/>
          <w:szCs w:val="24"/>
        </w:rPr>
        <w:t xml:space="preserve"> Zakona o proračunu NN br: 144/2021 </w:t>
      </w:r>
      <w:r w:rsidR="00E01C7F">
        <w:rPr>
          <w:rFonts w:ascii="Cambria" w:hAnsi="Cambria" w:cstheme="minorHAnsi"/>
          <w:sz w:val="24"/>
          <w:szCs w:val="24"/>
        </w:rPr>
        <w:t xml:space="preserve">od </w:t>
      </w:r>
      <w:r w:rsidRPr="004942E2">
        <w:rPr>
          <w:rFonts w:ascii="Cambria" w:hAnsi="Cambria" w:cstheme="minorHAnsi"/>
          <w:sz w:val="24"/>
          <w:szCs w:val="24"/>
        </w:rPr>
        <w:t>27.12.2021.</w:t>
      </w:r>
      <w:r w:rsidR="00F064C0">
        <w:rPr>
          <w:rFonts w:ascii="Cambria" w:hAnsi="Cambria" w:cstheme="minorHAnsi"/>
          <w:sz w:val="24"/>
          <w:szCs w:val="24"/>
        </w:rPr>
        <w:t xml:space="preserve"> </w:t>
      </w:r>
    </w:p>
    <w:p w14:paraId="6A834195" w14:textId="77777777" w:rsidR="00D43539" w:rsidRDefault="00D43539" w:rsidP="008B0635">
      <w:pPr>
        <w:pStyle w:val="Bezproreda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CA8635D" w14:textId="158328E3" w:rsidR="004942E2" w:rsidRDefault="00993EA9" w:rsidP="008B0635">
      <w:pPr>
        <w:pStyle w:val="Bezproreda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Prema </w:t>
      </w:r>
      <w:r w:rsidR="00F064C0">
        <w:rPr>
          <w:rFonts w:ascii="Cambria" w:hAnsi="Cambria" w:cstheme="minorHAnsi"/>
          <w:sz w:val="24"/>
          <w:szCs w:val="24"/>
        </w:rPr>
        <w:t>Pravilnik</w:t>
      </w:r>
      <w:r>
        <w:rPr>
          <w:rFonts w:ascii="Cambria" w:hAnsi="Cambria" w:cstheme="minorHAnsi"/>
          <w:sz w:val="24"/>
          <w:szCs w:val="24"/>
        </w:rPr>
        <w:t>u</w:t>
      </w:r>
      <w:r w:rsidR="00F064C0">
        <w:rPr>
          <w:rFonts w:ascii="Cambria" w:hAnsi="Cambria" w:cstheme="minorHAnsi"/>
          <w:sz w:val="24"/>
          <w:szCs w:val="24"/>
        </w:rPr>
        <w:t xml:space="preserve"> o polugodišnjem i godišnjem izvještaju o izvršenju proračuna i  financijskog plana </w:t>
      </w:r>
      <w:r>
        <w:rPr>
          <w:rFonts w:ascii="Cambria" w:hAnsi="Cambria" w:cstheme="minorHAnsi"/>
          <w:sz w:val="24"/>
          <w:szCs w:val="24"/>
        </w:rPr>
        <w:t>(</w:t>
      </w:r>
      <w:r w:rsidRPr="004942E2">
        <w:rPr>
          <w:rFonts w:ascii="Cambria" w:hAnsi="Cambria" w:cstheme="minorHAnsi"/>
          <w:sz w:val="24"/>
          <w:szCs w:val="24"/>
        </w:rPr>
        <w:t xml:space="preserve">NN br: </w:t>
      </w:r>
      <w:r>
        <w:rPr>
          <w:rFonts w:ascii="Cambria" w:hAnsi="Cambria" w:cstheme="minorHAnsi"/>
          <w:sz w:val="24"/>
          <w:szCs w:val="24"/>
        </w:rPr>
        <w:t>85</w:t>
      </w:r>
      <w:r w:rsidRPr="004942E2">
        <w:rPr>
          <w:rFonts w:ascii="Cambria" w:hAnsi="Cambria" w:cstheme="minorHAnsi"/>
          <w:sz w:val="24"/>
          <w:szCs w:val="24"/>
        </w:rPr>
        <w:t>/202</w:t>
      </w:r>
      <w:r>
        <w:rPr>
          <w:rFonts w:ascii="Cambria" w:hAnsi="Cambria" w:cstheme="minorHAnsi"/>
          <w:sz w:val="24"/>
          <w:szCs w:val="24"/>
        </w:rPr>
        <w:t xml:space="preserve">3.) </w:t>
      </w:r>
      <w:r w:rsidR="00E01C7F">
        <w:rPr>
          <w:rFonts w:ascii="Cambria" w:hAnsi="Cambria" w:cstheme="minorHAnsi"/>
          <w:sz w:val="24"/>
          <w:szCs w:val="24"/>
        </w:rPr>
        <w:t>p</w:t>
      </w:r>
      <w:r>
        <w:rPr>
          <w:rFonts w:ascii="Cambria" w:hAnsi="Cambria" w:cstheme="minorHAnsi"/>
          <w:sz w:val="24"/>
          <w:szCs w:val="24"/>
        </w:rPr>
        <w:t>rikazuje se</w:t>
      </w:r>
      <w:r w:rsidR="004942E2" w:rsidRPr="004942E2">
        <w:rPr>
          <w:rFonts w:ascii="Cambria" w:hAnsi="Cambria" w:cstheme="minorHAnsi"/>
          <w:sz w:val="24"/>
          <w:szCs w:val="24"/>
        </w:rPr>
        <w:t xml:space="preserve"> jesu li sredstva utrošena sukladno donesenom financijskom planu</w:t>
      </w:r>
      <w:r w:rsidR="00E01C7F">
        <w:rPr>
          <w:rFonts w:ascii="Cambria" w:hAnsi="Cambria" w:cstheme="minorHAnsi"/>
          <w:sz w:val="24"/>
          <w:szCs w:val="24"/>
        </w:rPr>
        <w:t>.</w:t>
      </w:r>
      <w:r w:rsidR="004942E2" w:rsidRPr="004942E2">
        <w:rPr>
          <w:rFonts w:ascii="Cambria" w:hAnsi="Cambria" w:cstheme="minorHAnsi"/>
          <w:sz w:val="24"/>
          <w:szCs w:val="24"/>
        </w:rPr>
        <w:t xml:space="preserve"> </w:t>
      </w:r>
      <w:r w:rsidR="00E01C7F">
        <w:rPr>
          <w:rFonts w:ascii="Cambria" w:hAnsi="Cambria" w:cstheme="minorHAnsi"/>
          <w:sz w:val="24"/>
          <w:szCs w:val="24"/>
        </w:rPr>
        <w:t xml:space="preserve">Sadržaj </w:t>
      </w:r>
      <w:r w:rsidR="004942E2" w:rsidRPr="004942E2">
        <w:rPr>
          <w:rFonts w:ascii="Cambria" w:hAnsi="Cambria" w:cstheme="minorHAnsi"/>
          <w:sz w:val="24"/>
          <w:szCs w:val="24"/>
        </w:rPr>
        <w:t xml:space="preserve"> mora biti u skladu s podacima iskazanim u planu posebice jer su podaci iz izvještaja o izvršenju financijskih planova proračunskog korisnika dio izvještaja o izvršenju JLP(R)S.</w:t>
      </w:r>
    </w:p>
    <w:p w14:paraId="3AD38977" w14:textId="77777777" w:rsidR="00993EA9" w:rsidRDefault="00993EA9" w:rsidP="008B0635">
      <w:pPr>
        <w:pStyle w:val="Bezproreda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342B5DB" w14:textId="77777777" w:rsidR="00AE79CA" w:rsidRPr="004942E2" w:rsidRDefault="00AE79CA" w:rsidP="008B0635">
      <w:pPr>
        <w:pStyle w:val="Bezproreda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2F8A2A8" w14:textId="47A05F0D" w:rsidR="004942E2" w:rsidRPr="004942E2" w:rsidRDefault="004942E2" w:rsidP="008B0635">
      <w:pPr>
        <w:pStyle w:val="Bezproreda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4942E2">
        <w:rPr>
          <w:rFonts w:ascii="Cambria" w:hAnsi="Cambria" w:cstheme="minorHAnsi"/>
          <w:sz w:val="24"/>
          <w:szCs w:val="24"/>
        </w:rPr>
        <w:t xml:space="preserve">Slijedom gore navedenog Izvještaj o izvršenju financijskog plana sastoji se od: </w:t>
      </w:r>
    </w:p>
    <w:p w14:paraId="4E5108D5" w14:textId="77777777" w:rsidR="00A10D90" w:rsidRDefault="004942E2" w:rsidP="008B0635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4942E2">
        <w:rPr>
          <w:rFonts w:ascii="Cambria" w:hAnsi="Cambria" w:cstheme="minorHAnsi"/>
          <w:sz w:val="24"/>
          <w:szCs w:val="24"/>
        </w:rPr>
        <w:t xml:space="preserve">Opći dio </w:t>
      </w:r>
      <w:r w:rsidR="00A10D90">
        <w:rPr>
          <w:rFonts w:ascii="Cambria" w:hAnsi="Cambria" w:cstheme="minorHAnsi"/>
          <w:sz w:val="24"/>
          <w:szCs w:val="24"/>
        </w:rPr>
        <w:t>izvještaja o izvršenju financijskog plana</w:t>
      </w:r>
    </w:p>
    <w:p w14:paraId="76843AFC" w14:textId="40D8730C" w:rsidR="004942E2" w:rsidRPr="004942E2" w:rsidRDefault="004942E2" w:rsidP="008B0635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4942E2">
        <w:rPr>
          <w:rFonts w:ascii="Cambria" w:hAnsi="Cambria" w:cstheme="minorHAnsi"/>
          <w:sz w:val="24"/>
          <w:szCs w:val="24"/>
        </w:rPr>
        <w:t xml:space="preserve">Posebni dio </w:t>
      </w:r>
      <w:r w:rsidR="00A10D90">
        <w:rPr>
          <w:rFonts w:ascii="Cambria" w:hAnsi="Cambria" w:cstheme="minorHAnsi"/>
          <w:sz w:val="24"/>
          <w:szCs w:val="24"/>
        </w:rPr>
        <w:t>izvještaja o izvršenju financijskog plana</w:t>
      </w:r>
    </w:p>
    <w:p w14:paraId="49D7C856" w14:textId="67D3E1CE" w:rsidR="004942E2" w:rsidRDefault="004942E2" w:rsidP="008B063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4942E2">
        <w:rPr>
          <w:rFonts w:ascii="Cambria" w:hAnsi="Cambria" w:cstheme="minorHAnsi"/>
          <w:bCs/>
          <w:sz w:val="24"/>
          <w:szCs w:val="24"/>
        </w:rPr>
        <w:t xml:space="preserve">Obrazloženje </w:t>
      </w:r>
      <w:r w:rsidR="00A10D90">
        <w:rPr>
          <w:rFonts w:ascii="Cambria" w:hAnsi="Cambria" w:cstheme="minorHAnsi"/>
          <w:sz w:val="24"/>
          <w:szCs w:val="24"/>
        </w:rPr>
        <w:t>izvještaja o izvršenju financijskog plana</w:t>
      </w:r>
    </w:p>
    <w:p w14:paraId="2898C731" w14:textId="7B1F70C4" w:rsidR="00A10D90" w:rsidRDefault="00A10D90" w:rsidP="008B063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mbria" w:hAnsi="Cambria" w:cstheme="minorHAnsi"/>
          <w:bCs/>
          <w:sz w:val="24"/>
          <w:szCs w:val="24"/>
        </w:rPr>
      </w:pPr>
      <w:r>
        <w:rPr>
          <w:rFonts w:ascii="Cambria" w:hAnsi="Cambria" w:cstheme="minorHAnsi"/>
          <w:bCs/>
          <w:sz w:val="24"/>
          <w:szCs w:val="24"/>
        </w:rPr>
        <w:t>Posebne izvještaje</w:t>
      </w:r>
    </w:p>
    <w:p w14:paraId="356435AB" w14:textId="77777777" w:rsidR="00A10D90" w:rsidRPr="00A10D90" w:rsidRDefault="00A10D90" w:rsidP="008B0635">
      <w:pPr>
        <w:spacing w:line="276" w:lineRule="auto"/>
        <w:jc w:val="both"/>
        <w:rPr>
          <w:rFonts w:ascii="Cambria" w:hAnsi="Cambria" w:cstheme="minorHAnsi"/>
          <w:bCs/>
          <w:sz w:val="24"/>
          <w:szCs w:val="24"/>
        </w:rPr>
      </w:pPr>
    </w:p>
    <w:p w14:paraId="762D6F91" w14:textId="1C99BF25" w:rsidR="004942E2" w:rsidRPr="004942E2" w:rsidRDefault="00AE79CA" w:rsidP="008B0635">
      <w:pPr>
        <w:spacing w:line="276" w:lineRule="auto"/>
        <w:jc w:val="both"/>
        <w:rPr>
          <w:rFonts w:ascii="Cambria" w:hAnsi="Cambria" w:cstheme="minorHAnsi"/>
          <w:bCs/>
          <w:sz w:val="24"/>
          <w:szCs w:val="24"/>
        </w:rPr>
      </w:pPr>
      <w:r>
        <w:rPr>
          <w:rFonts w:ascii="Cambria" w:hAnsi="Cambria" w:cstheme="minorHAnsi"/>
          <w:bCs/>
          <w:sz w:val="24"/>
          <w:szCs w:val="24"/>
        </w:rPr>
        <w:t xml:space="preserve">Opći dio </w:t>
      </w:r>
      <w:r w:rsidR="00647A8D">
        <w:rPr>
          <w:rFonts w:ascii="Cambria" w:hAnsi="Cambria" w:cstheme="minorHAnsi"/>
          <w:bCs/>
          <w:sz w:val="24"/>
          <w:szCs w:val="24"/>
        </w:rPr>
        <w:t>I</w:t>
      </w:r>
      <w:r>
        <w:rPr>
          <w:rFonts w:ascii="Cambria" w:hAnsi="Cambria" w:cstheme="minorHAnsi"/>
          <w:bCs/>
          <w:sz w:val="24"/>
          <w:szCs w:val="24"/>
        </w:rPr>
        <w:t>zvještaja o izvršenju financijskog plana proračunskog korisnika sadrži:</w:t>
      </w:r>
    </w:p>
    <w:p w14:paraId="5CA0F9C2" w14:textId="1386079B" w:rsidR="00A10D90" w:rsidRPr="00AE79CA" w:rsidRDefault="00A10D90" w:rsidP="008B0635">
      <w:pPr>
        <w:pStyle w:val="Bezproreda"/>
        <w:numPr>
          <w:ilvl w:val="0"/>
          <w:numId w:val="2"/>
        </w:numPr>
        <w:spacing w:line="276" w:lineRule="auto"/>
        <w:jc w:val="both"/>
        <w:rPr>
          <w:rStyle w:val="pt-zadanifontodlomka-000006"/>
          <w:rFonts w:ascii="Cambria" w:hAnsi="Cambria" w:cstheme="minorHAnsi"/>
          <w:sz w:val="24"/>
          <w:szCs w:val="24"/>
        </w:rPr>
      </w:pPr>
      <w:r w:rsidRPr="00C00F4B">
        <w:rPr>
          <w:rFonts w:ascii="Cambria" w:hAnsi="Cambria" w:cstheme="minorHAnsi"/>
          <w:sz w:val="24"/>
          <w:szCs w:val="24"/>
        </w:rPr>
        <w:t>Sažetak</w:t>
      </w:r>
      <w:r w:rsidRPr="00C00F4B">
        <w:rPr>
          <w:rStyle w:val="pt-zadanifontodlomka-000006"/>
          <w:rFonts w:ascii="Cambria" w:hAnsi="Cambria"/>
          <w:sz w:val="24"/>
          <w:szCs w:val="24"/>
        </w:rPr>
        <w:t xml:space="preserve"> Računa prihoda i rashoda i Račun financiranja</w:t>
      </w:r>
    </w:p>
    <w:p w14:paraId="27EE35BA" w14:textId="077A5C60" w:rsidR="00AE79CA" w:rsidRPr="00AE79CA" w:rsidRDefault="00AE79CA" w:rsidP="008B0635">
      <w:pPr>
        <w:pStyle w:val="Bezproreda"/>
        <w:numPr>
          <w:ilvl w:val="0"/>
          <w:numId w:val="2"/>
        </w:numPr>
        <w:spacing w:line="276" w:lineRule="auto"/>
        <w:jc w:val="both"/>
        <w:rPr>
          <w:rStyle w:val="pt-zadanifontodlomka-000006"/>
          <w:rFonts w:ascii="Cambria" w:hAnsi="Cambria" w:cstheme="minorHAnsi"/>
          <w:sz w:val="24"/>
          <w:szCs w:val="24"/>
        </w:rPr>
      </w:pPr>
      <w:r>
        <w:rPr>
          <w:rStyle w:val="pt-zadanifontodlomka-000006"/>
          <w:rFonts w:ascii="Cambria" w:hAnsi="Cambria"/>
          <w:sz w:val="24"/>
          <w:szCs w:val="24"/>
        </w:rPr>
        <w:t>Račun prihoda i rashoda (prema ekonomskoj klasifikaciji, izvorima financiranja i prema funkcijskoj klasifikaciji)</w:t>
      </w:r>
    </w:p>
    <w:p w14:paraId="68D71C91" w14:textId="000A125E" w:rsidR="00AE79CA" w:rsidRDefault="00AE79CA" w:rsidP="008B0635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Style w:val="pt-zadanifontodlomka-000006"/>
          <w:rFonts w:ascii="Cambria" w:hAnsi="Cambria"/>
          <w:sz w:val="24"/>
          <w:szCs w:val="24"/>
        </w:rPr>
        <w:t>Račun financiranja</w:t>
      </w:r>
    </w:p>
    <w:p w14:paraId="0E2C343A" w14:textId="5343EEA9" w:rsidR="00A10D90" w:rsidRDefault="00A10D90" w:rsidP="008B0635">
      <w:pPr>
        <w:pStyle w:val="Bezproreda"/>
        <w:spacing w:line="276" w:lineRule="auto"/>
        <w:ind w:left="36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</w:t>
      </w:r>
    </w:p>
    <w:p w14:paraId="3847AB88" w14:textId="77777777" w:rsidR="00D43539" w:rsidRDefault="00D43539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07DD06DA" w14:textId="4877D588" w:rsidR="004942E2" w:rsidRDefault="00D764C9" w:rsidP="008B0635">
      <w:pPr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lastRenderedPageBreak/>
        <w:t xml:space="preserve">OBRAZLOŽENJE </w:t>
      </w:r>
      <w:r w:rsidR="00F71AB4" w:rsidRPr="00F71AB4">
        <w:rPr>
          <w:rFonts w:ascii="Cambria" w:hAnsi="Cambria" w:cstheme="minorHAnsi"/>
          <w:sz w:val="24"/>
          <w:szCs w:val="24"/>
        </w:rPr>
        <w:t>OPĆ</w:t>
      </w:r>
      <w:r>
        <w:rPr>
          <w:rFonts w:ascii="Cambria" w:hAnsi="Cambria" w:cstheme="minorHAnsi"/>
          <w:sz w:val="24"/>
          <w:szCs w:val="24"/>
        </w:rPr>
        <w:t>EG</w:t>
      </w:r>
      <w:r w:rsidR="00F71AB4" w:rsidRPr="00F71AB4">
        <w:rPr>
          <w:rFonts w:ascii="Cambria" w:hAnsi="Cambria" w:cstheme="minorHAnsi"/>
          <w:sz w:val="24"/>
          <w:szCs w:val="24"/>
        </w:rPr>
        <w:t xml:space="preserve"> DI</w:t>
      </w:r>
      <w:r>
        <w:rPr>
          <w:rFonts w:ascii="Cambria" w:hAnsi="Cambria" w:cstheme="minorHAnsi"/>
          <w:sz w:val="24"/>
          <w:szCs w:val="24"/>
        </w:rPr>
        <w:t>JELA IZVJEŠTAJA O IZVREŠNJU FINANCIJSKOG PLANA</w:t>
      </w:r>
    </w:p>
    <w:p w14:paraId="0AC42F66" w14:textId="77777777" w:rsidR="00271190" w:rsidRDefault="00271190" w:rsidP="008B0635">
      <w:pPr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69CA70C9" w14:textId="1655CC01" w:rsidR="00C00F4B" w:rsidRDefault="00C00F4B" w:rsidP="008B0635">
      <w:pPr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47FF4F0" w14:textId="71B5303D" w:rsidR="00C00F4B" w:rsidRDefault="00C00F4B" w:rsidP="008B0635">
      <w:pPr>
        <w:spacing w:line="276" w:lineRule="auto"/>
        <w:jc w:val="center"/>
        <w:rPr>
          <w:rStyle w:val="pt-zadanifontodlomka-000006"/>
          <w:rFonts w:ascii="Cambria" w:hAnsi="Cambria"/>
          <w:i/>
          <w:sz w:val="24"/>
          <w:szCs w:val="24"/>
        </w:rPr>
      </w:pPr>
      <w:r w:rsidRPr="00C00F4B">
        <w:rPr>
          <w:rFonts w:ascii="Cambria" w:hAnsi="Cambria" w:cstheme="minorHAnsi"/>
          <w:i/>
          <w:sz w:val="24"/>
          <w:szCs w:val="24"/>
        </w:rPr>
        <w:t>Sažetak</w:t>
      </w:r>
      <w:r w:rsidRPr="00C00F4B">
        <w:rPr>
          <w:rStyle w:val="pt-zadanifontodlomka-000006"/>
          <w:rFonts w:ascii="Cambria" w:hAnsi="Cambria"/>
          <w:i/>
          <w:sz w:val="24"/>
          <w:szCs w:val="24"/>
        </w:rPr>
        <w:t xml:space="preserve"> Računa prihoda i rashoda i  Računa financiranja</w:t>
      </w:r>
    </w:p>
    <w:p w14:paraId="07684513" w14:textId="77777777" w:rsidR="00BB1AB3" w:rsidRDefault="00BB1AB3" w:rsidP="008B0635">
      <w:pPr>
        <w:spacing w:line="276" w:lineRule="auto"/>
        <w:jc w:val="center"/>
        <w:rPr>
          <w:rStyle w:val="pt-zadanifontodlomka-000006"/>
          <w:rFonts w:ascii="Cambria" w:hAnsi="Cambria"/>
          <w:i/>
          <w:sz w:val="24"/>
          <w:szCs w:val="24"/>
        </w:rPr>
      </w:pPr>
    </w:p>
    <w:p w14:paraId="78DD6A4A" w14:textId="77777777" w:rsidR="00271190" w:rsidRPr="00C00F4B" w:rsidRDefault="00271190" w:rsidP="008B0635">
      <w:pPr>
        <w:spacing w:line="276" w:lineRule="auto"/>
        <w:jc w:val="center"/>
        <w:rPr>
          <w:rFonts w:ascii="Cambria" w:hAnsi="Cambria" w:cstheme="minorHAnsi"/>
          <w:i/>
          <w:sz w:val="24"/>
          <w:szCs w:val="24"/>
        </w:rPr>
      </w:pPr>
    </w:p>
    <w:p w14:paraId="019B863B" w14:textId="3DA7C98C" w:rsidR="00883EAA" w:rsidRDefault="00271190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  <w:r w:rsidRPr="00271190">
        <w:rPr>
          <w:rFonts w:ascii="Cambria" w:hAnsi="Cambria" w:cstheme="minorHAnsi"/>
          <w:sz w:val="24"/>
          <w:szCs w:val="24"/>
        </w:rPr>
        <w:t>Sažetak Računa prihoda i rashoda i Računa financiranja daje prikaz ukupnih prihoda i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271190">
        <w:rPr>
          <w:rFonts w:ascii="Cambria" w:hAnsi="Cambria" w:cstheme="minorHAnsi"/>
          <w:sz w:val="24"/>
          <w:szCs w:val="24"/>
        </w:rPr>
        <w:t>primitaka, te rashoda i izdataka na razini razreda ekonomske klasifikacije, kao i višak/manjak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271190">
        <w:rPr>
          <w:rFonts w:ascii="Cambria" w:hAnsi="Cambria" w:cstheme="minorHAnsi"/>
          <w:sz w:val="24"/>
          <w:szCs w:val="24"/>
        </w:rPr>
        <w:t>prihoda.</w:t>
      </w:r>
    </w:p>
    <w:p w14:paraId="0D1716EF" w14:textId="793A2955" w:rsidR="00F71AB4" w:rsidRDefault="00271190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  <w:r w:rsidRPr="00271190">
        <w:rPr>
          <w:rFonts w:ascii="Cambria" w:hAnsi="Cambria" w:cstheme="minorHAnsi"/>
          <w:sz w:val="24"/>
          <w:szCs w:val="24"/>
        </w:rPr>
        <w:t>U 202</w:t>
      </w:r>
      <w:r w:rsidR="007863F7">
        <w:rPr>
          <w:rFonts w:ascii="Cambria" w:hAnsi="Cambria" w:cstheme="minorHAnsi"/>
          <w:sz w:val="24"/>
          <w:szCs w:val="24"/>
        </w:rPr>
        <w:t>5</w:t>
      </w:r>
      <w:r w:rsidRPr="00271190">
        <w:rPr>
          <w:rFonts w:ascii="Cambria" w:hAnsi="Cambria" w:cstheme="minorHAnsi"/>
          <w:sz w:val="24"/>
          <w:szCs w:val="24"/>
        </w:rPr>
        <w:t xml:space="preserve">. godini ostvaren je </w:t>
      </w:r>
      <w:r>
        <w:rPr>
          <w:rFonts w:ascii="Cambria" w:hAnsi="Cambria" w:cstheme="minorHAnsi"/>
          <w:sz w:val="24"/>
          <w:szCs w:val="24"/>
        </w:rPr>
        <w:t>manjak</w:t>
      </w:r>
      <w:r w:rsidRPr="00271190">
        <w:rPr>
          <w:rFonts w:ascii="Cambria" w:hAnsi="Cambria" w:cstheme="minorHAnsi"/>
          <w:sz w:val="24"/>
          <w:szCs w:val="24"/>
        </w:rPr>
        <w:t xml:space="preserve"> prihoda u iznosu </w:t>
      </w:r>
      <w:r w:rsidR="006807EE">
        <w:rPr>
          <w:rFonts w:ascii="Cambria" w:hAnsi="Cambria" w:cstheme="minorHAnsi"/>
          <w:sz w:val="24"/>
          <w:szCs w:val="24"/>
        </w:rPr>
        <w:t>193.783,27</w:t>
      </w:r>
      <w:r>
        <w:rPr>
          <w:rFonts w:ascii="Cambria" w:hAnsi="Cambria" w:cstheme="minorHAnsi"/>
          <w:sz w:val="24"/>
          <w:szCs w:val="24"/>
        </w:rPr>
        <w:t xml:space="preserve"> €</w:t>
      </w:r>
      <w:r w:rsidRPr="00271190">
        <w:rPr>
          <w:rFonts w:ascii="Cambria" w:hAnsi="Cambria" w:cstheme="minorHAnsi"/>
          <w:sz w:val="24"/>
          <w:szCs w:val="24"/>
        </w:rPr>
        <w:t>.</w:t>
      </w:r>
      <w:r w:rsidR="00883EAA">
        <w:rPr>
          <w:rFonts w:ascii="Cambria" w:hAnsi="Cambria" w:cstheme="minorHAnsi"/>
          <w:sz w:val="24"/>
          <w:szCs w:val="24"/>
        </w:rPr>
        <w:t xml:space="preserve"> </w:t>
      </w:r>
      <w:r w:rsidRPr="00271190">
        <w:rPr>
          <w:rFonts w:ascii="Cambria" w:hAnsi="Cambria" w:cstheme="minorHAnsi"/>
          <w:sz w:val="24"/>
          <w:szCs w:val="24"/>
        </w:rPr>
        <w:t xml:space="preserve">Sadrži i prikaz </w:t>
      </w:r>
      <w:r w:rsidR="00207E8F">
        <w:rPr>
          <w:rFonts w:ascii="Cambria" w:hAnsi="Cambria" w:cstheme="minorHAnsi"/>
          <w:sz w:val="24"/>
          <w:szCs w:val="24"/>
        </w:rPr>
        <w:t xml:space="preserve">manjka </w:t>
      </w:r>
      <w:r w:rsidR="00297B02">
        <w:rPr>
          <w:rFonts w:ascii="Cambria" w:hAnsi="Cambria" w:cstheme="minorHAnsi"/>
          <w:sz w:val="24"/>
          <w:szCs w:val="24"/>
        </w:rPr>
        <w:t xml:space="preserve">sredstava </w:t>
      </w:r>
      <w:r w:rsidRPr="00271190">
        <w:rPr>
          <w:rFonts w:ascii="Cambria" w:hAnsi="Cambria" w:cstheme="minorHAnsi"/>
          <w:sz w:val="24"/>
          <w:szCs w:val="24"/>
        </w:rPr>
        <w:t>iz prethodn</w:t>
      </w:r>
      <w:r w:rsidR="00297B02">
        <w:rPr>
          <w:rFonts w:ascii="Cambria" w:hAnsi="Cambria" w:cstheme="minorHAnsi"/>
          <w:sz w:val="24"/>
          <w:szCs w:val="24"/>
        </w:rPr>
        <w:t>e</w:t>
      </w:r>
      <w:r w:rsidRPr="00271190">
        <w:rPr>
          <w:rFonts w:ascii="Cambria" w:hAnsi="Cambria" w:cstheme="minorHAnsi"/>
          <w:sz w:val="24"/>
          <w:szCs w:val="24"/>
        </w:rPr>
        <w:t xml:space="preserve"> godin</w:t>
      </w:r>
      <w:r w:rsidR="00297B02">
        <w:rPr>
          <w:rFonts w:ascii="Cambria" w:hAnsi="Cambria" w:cstheme="minorHAnsi"/>
          <w:sz w:val="24"/>
          <w:szCs w:val="24"/>
        </w:rPr>
        <w:t>e</w:t>
      </w:r>
      <w:r w:rsidRPr="00271190">
        <w:rPr>
          <w:rFonts w:ascii="Cambria" w:hAnsi="Cambria" w:cstheme="minorHAnsi"/>
          <w:sz w:val="24"/>
          <w:szCs w:val="24"/>
        </w:rPr>
        <w:t xml:space="preserve"> </w:t>
      </w:r>
      <w:r w:rsidR="00297B02">
        <w:rPr>
          <w:rFonts w:ascii="Cambria" w:hAnsi="Cambria" w:cstheme="minorHAnsi"/>
          <w:sz w:val="24"/>
          <w:szCs w:val="24"/>
        </w:rPr>
        <w:t xml:space="preserve">u </w:t>
      </w:r>
      <w:r w:rsidRPr="00271190">
        <w:rPr>
          <w:rFonts w:ascii="Cambria" w:hAnsi="Cambria" w:cstheme="minorHAnsi"/>
          <w:sz w:val="24"/>
          <w:szCs w:val="24"/>
        </w:rPr>
        <w:t xml:space="preserve"> iznos</w:t>
      </w:r>
      <w:r w:rsidR="00297B02">
        <w:rPr>
          <w:rFonts w:ascii="Cambria" w:hAnsi="Cambria" w:cstheme="minorHAnsi"/>
          <w:sz w:val="24"/>
          <w:szCs w:val="24"/>
        </w:rPr>
        <w:t>u</w:t>
      </w:r>
      <w:r w:rsidRPr="00271190">
        <w:rPr>
          <w:rFonts w:ascii="Cambria" w:hAnsi="Cambria" w:cstheme="minorHAnsi"/>
          <w:sz w:val="24"/>
          <w:szCs w:val="24"/>
        </w:rPr>
        <w:t xml:space="preserve"> </w:t>
      </w:r>
      <w:r w:rsidR="0085486A">
        <w:rPr>
          <w:rFonts w:ascii="Cambria" w:hAnsi="Cambria" w:cstheme="minorHAnsi"/>
          <w:sz w:val="24"/>
          <w:szCs w:val="24"/>
        </w:rPr>
        <w:t>3</w:t>
      </w:r>
      <w:r w:rsidR="007863F7">
        <w:rPr>
          <w:rFonts w:ascii="Cambria" w:hAnsi="Cambria" w:cstheme="minorHAnsi"/>
          <w:sz w:val="24"/>
          <w:szCs w:val="24"/>
        </w:rPr>
        <w:t>.736,38</w:t>
      </w:r>
      <w:r>
        <w:rPr>
          <w:rFonts w:ascii="Cambria" w:hAnsi="Cambria" w:cstheme="minorHAnsi"/>
          <w:sz w:val="24"/>
          <w:szCs w:val="24"/>
        </w:rPr>
        <w:t xml:space="preserve"> €.</w:t>
      </w:r>
    </w:p>
    <w:p w14:paraId="1EF3A23C" w14:textId="462E9882" w:rsidR="00271190" w:rsidRDefault="00271190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38501DFE" w14:textId="77777777" w:rsidR="00271190" w:rsidRPr="00271190" w:rsidRDefault="00271190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49D77736" w14:textId="77777777" w:rsidR="00F71AB4" w:rsidRDefault="0098189C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noProof/>
          <w:sz w:val="24"/>
          <w:szCs w:val="24"/>
        </w:rPr>
        <w:drawing>
          <wp:inline distT="0" distB="0" distL="0" distR="0" wp14:anchorId="626A44CC" wp14:editId="58B680B7">
            <wp:extent cx="5486400" cy="320040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A0528C8" w14:textId="77777777" w:rsidR="0098189C" w:rsidRDefault="0098189C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62FA7C83" w14:textId="77777777" w:rsidR="0098189C" w:rsidRDefault="00E31761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Grafikon1. Sažetak prihoda i rashoda</w:t>
      </w:r>
    </w:p>
    <w:p w14:paraId="3E879118" w14:textId="77777777" w:rsidR="0005692C" w:rsidRDefault="0005692C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71D627F2" w14:textId="3694A139" w:rsidR="0005692C" w:rsidRPr="0005692C" w:rsidRDefault="0005692C" w:rsidP="008B0635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5692C">
        <w:rPr>
          <w:rFonts w:ascii="Cambria" w:hAnsi="Cambria" w:cstheme="minorHAnsi"/>
          <w:sz w:val="24"/>
          <w:szCs w:val="24"/>
        </w:rPr>
        <w:t xml:space="preserve">U tablici Izvještaja prikazani su ostvareni prihodi </w:t>
      </w:r>
      <w:r w:rsidR="002F0206">
        <w:rPr>
          <w:rFonts w:ascii="Cambria" w:hAnsi="Cambria" w:cstheme="minorHAnsi"/>
          <w:sz w:val="24"/>
          <w:szCs w:val="24"/>
        </w:rPr>
        <w:t xml:space="preserve">i </w:t>
      </w:r>
      <w:r>
        <w:rPr>
          <w:rFonts w:ascii="Cambria" w:hAnsi="Cambria" w:cstheme="minorHAnsi"/>
          <w:sz w:val="24"/>
          <w:szCs w:val="24"/>
        </w:rPr>
        <w:t>rashodi</w:t>
      </w:r>
      <w:r w:rsidR="002F0206">
        <w:rPr>
          <w:rFonts w:ascii="Cambria" w:hAnsi="Cambria" w:cstheme="minorHAnsi"/>
          <w:sz w:val="24"/>
          <w:szCs w:val="24"/>
        </w:rPr>
        <w:t xml:space="preserve"> </w:t>
      </w:r>
      <w:r w:rsidRPr="0005692C">
        <w:rPr>
          <w:rFonts w:ascii="Cambria" w:hAnsi="Cambria" w:cstheme="minorHAnsi"/>
          <w:sz w:val="24"/>
          <w:szCs w:val="24"/>
        </w:rPr>
        <w:t xml:space="preserve"> u 202</w:t>
      </w:r>
      <w:r w:rsidR="006807EE">
        <w:rPr>
          <w:rFonts w:ascii="Cambria" w:hAnsi="Cambria" w:cstheme="minorHAnsi"/>
          <w:sz w:val="24"/>
          <w:szCs w:val="24"/>
        </w:rPr>
        <w:t>4</w:t>
      </w:r>
      <w:r>
        <w:rPr>
          <w:rFonts w:ascii="Cambria" w:hAnsi="Cambria" w:cstheme="minorHAnsi"/>
          <w:sz w:val="24"/>
          <w:szCs w:val="24"/>
        </w:rPr>
        <w:t xml:space="preserve">. </w:t>
      </w:r>
      <w:r w:rsidRPr="0005692C">
        <w:rPr>
          <w:rFonts w:ascii="Cambria" w:hAnsi="Cambria" w:cstheme="minorHAnsi"/>
          <w:sz w:val="24"/>
          <w:szCs w:val="24"/>
        </w:rPr>
        <w:t xml:space="preserve">godini, planirani </w:t>
      </w:r>
      <w:r w:rsidR="002F0206" w:rsidRPr="0005692C">
        <w:rPr>
          <w:rFonts w:ascii="Cambria" w:hAnsi="Cambria" w:cstheme="minorHAnsi"/>
          <w:sz w:val="24"/>
          <w:szCs w:val="24"/>
        </w:rPr>
        <w:t xml:space="preserve">prihodi </w:t>
      </w:r>
      <w:r w:rsidR="002F0206">
        <w:rPr>
          <w:rFonts w:ascii="Cambria" w:hAnsi="Cambria" w:cstheme="minorHAnsi"/>
          <w:sz w:val="24"/>
          <w:szCs w:val="24"/>
        </w:rPr>
        <w:t xml:space="preserve">i </w:t>
      </w:r>
      <w:r w:rsidR="002F0206" w:rsidRPr="0005692C">
        <w:rPr>
          <w:rFonts w:ascii="Cambria" w:hAnsi="Cambria" w:cstheme="minorHAnsi"/>
          <w:sz w:val="24"/>
          <w:szCs w:val="24"/>
        </w:rPr>
        <w:t xml:space="preserve"> </w:t>
      </w:r>
      <w:r w:rsidR="002F0206">
        <w:rPr>
          <w:rFonts w:ascii="Cambria" w:hAnsi="Cambria" w:cstheme="minorHAnsi"/>
          <w:sz w:val="24"/>
          <w:szCs w:val="24"/>
        </w:rPr>
        <w:t xml:space="preserve">rashodi </w:t>
      </w:r>
      <w:r w:rsidRPr="0005692C">
        <w:rPr>
          <w:rFonts w:ascii="Cambria" w:hAnsi="Cambria" w:cstheme="minorHAnsi"/>
          <w:sz w:val="24"/>
          <w:szCs w:val="24"/>
        </w:rPr>
        <w:t xml:space="preserve"> za 202</w:t>
      </w:r>
      <w:r w:rsidR="006807EE">
        <w:rPr>
          <w:rFonts w:ascii="Cambria" w:hAnsi="Cambria" w:cstheme="minorHAnsi"/>
          <w:sz w:val="24"/>
          <w:szCs w:val="24"/>
        </w:rPr>
        <w:t>5</w:t>
      </w:r>
      <w:r w:rsidRPr="0005692C">
        <w:rPr>
          <w:rFonts w:ascii="Cambria" w:hAnsi="Cambria" w:cstheme="minorHAnsi"/>
          <w:sz w:val="24"/>
          <w:szCs w:val="24"/>
        </w:rPr>
        <w:t>.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05692C">
        <w:rPr>
          <w:rFonts w:ascii="Cambria" w:hAnsi="Cambria" w:cstheme="minorHAnsi"/>
          <w:sz w:val="24"/>
          <w:szCs w:val="24"/>
        </w:rPr>
        <w:t>godin</w:t>
      </w:r>
      <w:r w:rsidR="001F17C2">
        <w:rPr>
          <w:rFonts w:ascii="Cambria" w:hAnsi="Cambria" w:cstheme="minorHAnsi"/>
          <w:sz w:val="24"/>
          <w:szCs w:val="24"/>
        </w:rPr>
        <w:t xml:space="preserve">u </w:t>
      </w:r>
      <w:r w:rsidRPr="0005692C">
        <w:rPr>
          <w:rFonts w:ascii="Cambria" w:hAnsi="Cambria" w:cstheme="minorHAnsi"/>
          <w:sz w:val="24"/>
          <w:szCs w:val="24"/>
        </w:rPr>
        <w:t xml:space="preserve">te ostvareni </w:t>
      </w:r>
      <w:r w:rsidR="002F0206" w:rsidRPr="0005692C">
        <w:rPr>
          <w:rFonts w:ascii="Cambria" w:hAnsi="Cambria" w:cstheme="minorHAnsi"/>
          <w:sz w:val="24"/>
          <w:szCs w:val="24"/>
        </w:rPr>
        <w:t xml:space="preserve">prihodi </w:t>
      </w:r>
      <w:r w:rsidR="002F0206">
        <w:rPr>
          <w:rFonts w:ascii="Cambria" w:hAnsi="Cambria" w:cstheme="minorHAnsi"/>
          <w:sz w:val="24"/>
          <w:szCs w:val="24"/>
        </w:rPr>
        <w:t xml:space="preserve">i  rashodi </w:t>
      </w:r>
      <w:r w:rsidRPr="0005692C">
        <w:rPr>
          <w:rFonts w:ascii="Cambria" w:hAnsi="Cambria" w:cstheme="minorHAnsi"/>
          <w:sz w:val="24"/>
          <w:szCs w:val="24"/>
        </w:rPr>
        <w:t>u 202</w:t>
      </w:r>
      <w:r w:rsidR="006807EE">
        <w:rPr>
          <w:rFonts w:ascii="Cambria" w:hAnsi="Cambria" w:cstheme="minorHAnsi"/>
          <w:sz w:val="24"/>
          <w:szCs w:val="24"/>
        </w:rPr>
        <w:t>5</w:t>
      </w:r>
      <w:r w:rsidRPr="0005692C">
        <w:rPr>
          <w:rFonts w:ascii="Cambria" w:hAnsi="Cambria" w:cstheme="minorHAnsi"/>
          <w:sz w:val="24"/>
          <w:szCs w:val="24"/>
        </w:rPr>
        <w:t>.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05692C">
        <w:rPr>
          <w:rFonts w:ascii="Cambria" w:hAnsi="Cambria" w:cstheme="minorHAnsi"/>
          <w:sz w:val="24"/>
          <w:szCs w:val="24"/>
        </w:rPr>
        <w:t>godini.</w:t>
      </w:r>
    </w:p>
    <w:p w14:paraId="3FC77423" w14:textId="77777777" w:rsidR="0098189C" w:rsidRPr="0005692C" w:rsidRDefault="0098189C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61BF3B0E" w14:textId="013237C0" w:rsidR="00F71AB4" w:rsidRDefault="00F71AB4" w:rsidP="008B0635">
      <w:pPr>
        <w:pStyle w:val="Bezproreda"/>
        <w:spacing w:line="276" w:lineRule="auto"/>
        <w:rPr>
          <w:rFonts w:ascii="Cambria" w:hAnsi="Cambria" w:cstheme="minorHAnsi"/>
          <w:sz w:val="24"/>
          <w:szCs w:val="24"/>
        </w:rPr>
      </w:pPr>
      <w:r w:rsidRPr="00EF781D">
        <w:rPr>
          <w:rFonts w:ascii="Cambria" w:hAnsi="Cambria" w:cstheme="minorHAnsi"/>
          <w:sz w:val="24"/>
          <w:szCs w:val="24"/>
        </w:rPr>
        <w:t xml:space="preserve">U </w:t>
      </w:r>
      <w:r w:rsidR="00E31761" w:rsidRPr="00EF781D">
        <w:rPr>
          <w:rFonts w:ascii="Cambria" w:hAnsi="Cambria" w:cstheme="minorHAnsi"/>
          <w:sz w:val="24"/>
          <w:szCs w:val="24"/>
        </w:rPr>
        <w:t>grafikonu</w:t>
      </w:r>
      <w:r w:rsidRPr="00EF781D">
        <w:rPr>
          <w:rFonts w:ascii="Cambria" w:hAnsi="Cambria" w:cstheme="minorHAnsi"/>
          <w:sz w:val="24"/>
          <w:szCs w:val="24"/>
        </w:rPr>
        <w:t xml:space="preserve"> kako je navedeno, prikazani su </w:t>
      </w:r>
      <w:bookmarkStart w:id="0" w:name="_Hlk139841592"/>
      <w:r w:rsidRPr="00EF781D">
        <w:rPr>
          <w:rFonts w:ascii="Cambria" w:hAnsi="Cambria" w:cstheme="minorHAnsi"/>
          <w:sz w:val="24"/>
          <w:szCs w:val="24"/>
        </w:rPr>
        <w:t xml:space="preserve">ostvareni ukupni </w:t>
      </w:r>
      <w:r w:rsidR="00E31761" w:rsidRPr="00EF781D">
        <w:rPr>
          <w:rFonts w:ascii="Cambria" w:hAnsi="Cambria" w:cstheme="minorHAnsi"/>
          <w:sz w:val="24"/>
          <w:szCs w:val="24"/>
        </w:rPr>
        <w:t>pri</w:t>
      </w:r>
      <w:r w:rsidRPr="00EF781D">
        <w:rPr>
          <w:rFonts w:ascii="Cambria" w:hAnsi="Cambria" w:cstheme="minorHAnsi"/>
          <w:sz w:val="24"/>
          <w:szCs w:val="24"/>
        </w:rPr>
        <w:t>hodi  na dan 3</w:t>
      </w:r>
      <w:r w:rsidR="002A693D">
        <w:rPr>
          <w:rFonts w:ascii="Cambria" w:hAnsi="Cambria" w:cstheme="minorHAnsi"/>
          <w:sz w:val="24"/>
          <w:szCs w:val="24"/>
        </w:rPr>
        <w:t>1</w:t>
      </w:r>
      <w:r w:rsidRPr="00EF781D">
        <w:rPr>
          <w:rFonts w:ascii="Cambria" w:hAnsi="Cambria" w:cstheme="minorHAnsi"/>
          <w:sz w:val="24"/>
          <w:szCs w:val="24"/>
        </w:rPr>
        <w:t>.</w:t>
      </w:r>
      <w:r w:rsidR="002A693D">
        <w:rPr>
          <w:rFonts w:ascii="Cambria" w:hAnsi="Cambria" w:cstheme="minorHAnsi"/>
          <w:sz w:val="24"/>
          <w:szCs w:val="24"/>
        </w:rPr>
        <w:t>12</w:t>
      </w:r>
      <w:r w:rsidRPr="00EF781D">
        <w:rPr>
          <w:rFonts w:ascii="Cambria" w:hAnsi="Cambria" w:cstheme="minorHAnsi"/>
          <w:sz w:val="24"/>
          <w:szCs w:val="24"/>
        </w:rPr>
        <w:t>.202</w:t>
      </w:r>
      <w:r w:rsidR="006807EE">
        <w:rPr>
          <w:rFonts w:ascii="Cambria" w:hAnsi="Cambria" w:cstheme="minorHAnsi"/>
          <w:sz w:val="24"/>
          <w:szCs w:val="24"/>
        </w:rPr>
        <w:t>4</w:t>
      </w:r>
      <w:r w:rsidRPr="00EF781D">
        <w:rPr>
          <w:rFonts w:ascii="Cambria" w:hAnsi="Cambria" w:cstheme="minorHAnsi"/>
          <w:sz w:val="24"/>
          <w:szCs w:val="24"/>
        </w:rPr>
        <w:t xml:space="preserve">. godine u iznosu </w:t>
      </w:r>
      <w:r w:rsidR="00E31761" w:rsidRPr="00EF781D">
        <w:rPr>
          <w:rFonts w:ascii="Cambria" w:hAnsi="Cambria" w:cstheme="minorHAnsi"/>
          <w:sz w:val="24"/>
          <w:szCs w:val="24"/>
        </w:rPr>
        <w:t xml:space="preserve"> </w:t>
      </w:r>
      <w:r w:rsidR="000D44FB">
        <w:rPr>
          <w:rFonts w:ascii="Cambria" w:hAnsi="Cambria" w:cstheme="minorHAnsi"/>
          <w:sz w:val="24"/>
          <w:szCs w:val="24"/>
        </w:rPr>
        <w:t>2.</w:t>
      </w:r>
      <w:r w:rsidR="006807EE">
        <w:rPr>
          <w:rFonts w:ascii="Cambria" w:hAnsi="Cambria" w:cstheme="minorHAnsi"/>
          <w:sz w:val="24"/>
          <w:szCs w:val="24"/>
        </w:rPr>
        <w:t>838.051,87</w:t>
      </w:r>
      <w:r w:rsidR="00E31761" w:rsidRPr="00EF781D">
        <w:rPr>
          <w:rFonts w:ascii="Cambria" w:hAnsi="Cambria" w:cstheme="minorHAnsi"/>
          <w:sz w:val="24"/>
          <w:szCs w:val="24"/>
        </w:rPr>
        <w:t xml:space="preserve"> €</w:t>
      </w:r>
      <w:r w:rsidRPr="00EF781D">
        <w:rPr>
          <w:rFonts w:ascii="Cambria" w:hAnsi="Cambria" w:cstheme="minorHAnsi"/>
          <w:sz w:val="24"/>
          <w:szCs w:val="24"/>
        </w:rPr>
        <w:t>, a ostvareni</w:t>
      </w:r>
      <w:r w:rsidR="00E31761" w:rsidRPr="00EF781D">
        <w:rPr>
          <w:rFonts w:ascii="Cambria" w:hAnsi="Cambria" w:cstheme="minorHAnsi"/>
          <w:sz w:val="24"/>
          <w:szCs w:val="24"/>
        </w:rPr>
        <w:t xml:space="preserve"> prihodi</w:t>
      </w:r>
      <w:r w:rsidRPr="00EF781D">
        <w:rPr>
          <w:rFonts w:ascii="Cambria" w:hAnsi="Cambria" w:cstheme="minorHAnsi"/>
          <w:sz w:val="24"/>
          <w:szCs w:val="24"/>
        </w:rPr>
        <w:t xml:space="preserve"> na dan 3</w:t>
      </w:r>
      <w:r w:rsidR="006507EE">
        <w:rPr>
          <w:rFonts w:ascii="Cambria" w:hAnsi="Cambria" w:cstheme="minorHAnsi"/>
          <w:sz w:val="24"/>
          <w:szCs w:val="24"/>
        </w:rPr>
        <w:t>1</w:t>
      </w:r>
      <w:r w:rsidRPr="00EF781D">
        <w:rPr>
          <w:rFonts w:ascii="Cambria" w:hAnsi="Cambria" w:cstheme="minorHAnsi"/>
          <w:sz w:val="24"/>
          <w:szCs w:val="24"/>
        </w:rPr>
        <w:t>.</w:t>
      </w:r>
      <w:r w:rsidR="006507EE">
        <w:rPr>
          <w:rFonts w:ascii="Cambria" w:hAnsi="Cambria" w:cstheme="minorHAnsi"/>
          <w:sz w:val="24"/>
          <w:szCs w:val="24"/>
        </w:rPr>
        <w:t>12</w:t>
      </w:r>
      <w:r w:rsidRPr="00EF781D">
        <w:rPr>
          <w:rFonts w:ascii="Cambria" w:hAnsi="Cambria" w:cstheme="minorHAnsi"/>
          <w:sz w:val="24"/>
          <w:szCs w:val="24"/>
        </w:rPr>
        <w:t>.202</w:t>
      </w:r>
      <w:r w:rsidR="006807EE">
        <w:rPr>
          <w:rFonts w:ascii="Cambria" w:hAnsi="Cambria" w:cstheme="minorHAnsi"/>
          <w:sz w:val="24"/>
          <w:szCs w:val="24"/>
        </w:rPr>
        <w:t>5</w:t>
      </w:r>
      <w:r w:rsidRPr="00EF781D">
        <w:rPr>
          <w:rFonts w:ascii="Cambria" w:hAnsi="Cambria" w:cstheme="minorHAnsi"/>
          <w:sz w:val="24"/>
          <w:szCs w:val="24"/>
        </w:rPr>
        <w:t>.</w:t>
      </w:r>
      <w:r w:rsidR="00EF781D">
        <w:rPr>
          <w:rFonts w:ascii="Cambria" w:hAnsi="Cambria" w:cstheme="minorHAnsi"/>
          <w:sz w:val="24"/>
          <w:szCs w:val="24"/>
        </w:rPr>
        <w:t xml:space="preserve"> </w:t>
      </w:r>
      <w:r w:rsidRPr="00EF781D">
        <w:rPr>
          <w:rFonts w:ascii="Cambria" w:hAnsi="Cambria" w:cstheme="minorHAnsi"/>
          <w:sz w:val="24"/>
          <w:szCs w:val="24"/>
        </w:rPr>
        <w:t xml:space="preserve">godine iznose </w:t>
      </w:r>
      <w:r w:rsidR="006807EE">
        <w:rPr>
          <w:rFonts w:ascii="Cambria" w:hAnsi="Cambria" w:cstheme="minorHAnsi"/>
          <w:sz w:val="24"/>
          <w:szCs w:val="24"/>
        </w:rPr>
        <w:t>3.024.527,24</w:t>
      </w:r>
      <w:r w:rsidRPr="00EF781D">
        <w:rPr>
          <w:rFonts w:ascii="Cambria" w:hAnsi="Cambria" w:cstheme="minorHAnsi"/>
          <w:sz w:val="24"/>
          <w:szCs w:val="24"/>
        </w:rPr>
        <w:t xml:space="preserve"> </w:t>
      </w:r>
      <w:r w:rsidR="00E31761" w:rsidRPr="00EF781D">
        <w:rPr>
          <w:rFonts w:ascii="Cambria" w:hAnsi="Cambria" w:cstheme="minorHAnsi"/>
          <w:sz w:val="24"/>
          <w:szCs w:val="24"/>
        </w:rPr>
        <w:t xml:space="preserve">€ </w:t>
      </w:r>
      <w:r w:rsidRPr="00EF781D">
        <w:rPr>
          <w:rFonts w:ascii="Cambria" w:hAnsi="Cambria" w:cstheme="minorHAnsi"/>
          <w:sz w:val="24"/>
          <w:szCs w:val="24"/>
        </w:rPr>
        <w:t xml:space="preserve">što je za </w:t>
      </w:r>
      <w:r w:rsidR="006807EE">
        <w:rPr>
          <w:rFonts w:ascii="Cambria" w:hAnsi="Cambria" w:cstheme="minorHAnsi"/>
          <w:sz w:val="24"/>
          <w:szCs w:val="24"/>
        </w:rPr>
        <w:t>6,57</w:t>
      </w:r>
      <w:r w:rsidRPr="00EF781D">
        <w:rPr>
          <w:rFonts w:ascii="Cambria" w:hAnsi="Cambria" w:cstheme="minorHAnsi"/>
          <w:sz w:val="24"/>
          <w:szCs w:val="24"/>
        </w:rPr>
        <w:t xml:space="preserve"> % više  u odnosu na prethodnu godinu.</w:t>
      </w:r>
      <w:r w:rsidR="0005692C">
        <w:rPr>
          <w:rFonts w:ascii="Cambria" w:hAnsi="Cambria" w:cstheme="minorHAnsi"/>
          <w:sz w:val="24"/>
          <w:szCs w:val="24"/>
        </w:rPr>
        <w:t xml:space="preserve"> U odnosu na </w:t>
      </w:r>
      <w:r w:rsidR="006507EE">
        <w:rPr>
          <w:rFonts w:ascii="Cambria" w:hAnsi="Cambria" w:cstheme="minorHAnsi"/>
          <w:sz w:val="24"/>
          <w:szCs w:val="24"/>
        </w:rPr>
        <w:t>Rebalans</w:t>
      </w:r>
      <w:r w:rsidR="0005692C">
        <w:rPr>
          <w:rFonts w:ascii="Cambria" w:hAnsi="Cambria" w:cstheme="minorHAnsi"/>
          <w:sz w:val="24"/>
          <w:szCs w:val="24"/>
        </w:rPr>
        <w:t xml:space="preserve">  za 202</w:t>
      </w:r>
      <w:r w:rsidR="006807EE">
        <w:rPr>
          <w:rFonts w:ascii="Cambria" w:hAnsi="Cambria" w:cstheme="minorHAnsi"/>
          <w:sz w:val="24"/>
          <w:szCs w:val="24"/>
        </w:rPr>
        <w:t>5</w:t>
      </w:r>
      <w:r w:rsidR="0005692C">
        <w:rPr>
          <w:rFonts w:ascii="Cambria" w:hAnsi="Cambria" w:cstheme="minorHAnsi"/>
          <w:sz w:val="24"/>
          <w:szCs w:val="24"/>
        </w:rPr>
        <w:t>. godin</w:t>
      </w:r>
      <w:r w:rsidR="00D75CEA">
        <w:rPr>
          <w:rFonts w:ascii="Cambria" w:hAnsi="Cambria" w:cstheme="minorHAnsi"/>
          <w:sz w:val="24"/>
          <w:szCs w:val="24"/>
        </w:rPr>
        <w:t>u</w:t>
      </w:r>
      <w:r w:rsidR="0005692C">
        <w:rPr>
          <w:rFonts w:ascii="Cambria" w:hAnsi="Cambria" w:cstheme="minorHAnsi"/>
          <w:sz w:val="24"/>
          <w:szCs w:val="24"/>
        </w:rPr>
        <w:t xml:space="preserve"> ostvareno je </w:t>
      </w:r>
      <w:r w:rsidR="000D44FB">
        <w:rPr>
          <w:rFonts w:ascii="Cambria" w:hAnsi="Cambria" w:cstheme="minorHAnsi"/>
          <w:sz w:val="24"/>
          <w:szCs w:val="24"/>
        </w:rPr>
        <w:t>1</w:t>
      </w:r>
      <w:r w:rsidR="006807EE">
        <w:rPr>
          <w:rFonts w:ascii="Cambria" w:hAnsi="Cambria" w:cstheme="minorHAnsi"/>
          <w:sz w:val="24"/>
          <w:szCs w:val="24"/>
        </w:rPr>
        <w:t>0,18</w:t>
      </w:r>
      <w:r w:rsidR="000D44FB">
        <w:rPr>
          <w:rFonts w:ascii="Cambria" w:hAnsi="Cambria" w:cstheme="minorHAnsi"/>
          <w:sz w:val="24"/>
          <w:szCs w:val="24"/>
        </w:rPr>
        <w:t xml:space="preserve"> </w:t>
      </w:r>
      <w:r w:rsidR="0005692C">
        <w:rPr>
          <w:rFonts w:ascii="Cambria" w:hAnsi="Cambria" w:cstheme="minorHAnsi"/>
          <w:sz w:val="24"/>
          <w:szCs w:val="24"/>
        </w:rPr>
        <w:t>%</w:t>
      </w:r>
      <w:r w:rsidR="00D75CEA">
        <w:rPr>
          <w:rFonts w:ascii="Cambria" w:hAnsi="Cambria" w:cstheme="minorHAnsi"/>
          <w:sz w:val="24"/>
          <w:szCs w:val="24"/>
        </w:rPr>
        <w:t xml:space="preserve"> </w:t>
      </w:r>
      <w:r w:rsidR="006807EE">
        <w:rPr>
          <w:rFonts w:ascii="Cambria" w:hAnsi="Cambria" w:cstheme="minorHAnsi"/>
          <w:sz w:val="24"/>
          <w:szCs w:val="24"/>
        </w:rPr>
        <w:t>manje</w:t>
      </w:r>
      <w:r w:rsidR="0005692C">
        <w:rPr>
          <w:rFonts w:ascii="Cambria" w:hAnsi="Cambria" w:cstheme="minorHAnsi"/>
          <w:sz w:val="24"/>
          <w:szCs w:val="24"/>
        </w:rPr>
        <w:t xml:space="preserve"> prihoda. </w:t>
      </w:r>
    </w:p>
    <w:p w14:paraId="01A797C2" w14:textId="77777777" w:rsidR="00DF7A3D" w:rsidRDefault="00DF7A3D" w:rsidP="008B0635">
      <w:pPr>
        <w:pStyle w:val="Bezproreda"/>
        <w:spacing w:line="276" w:lineRule="auto"/>
        <w:rPr>
          <w:rFonts w:ascii="Cambria" w:hAnsi="Cambria" w:cstheme="minorHAnsi"/>
          <w:sz w:val="24"/>
          <w:szCs w:val="24"/>
        </w:rPr>
      </w:pPr>
    </w:p>
    <w:p w14:paraId="1B21A88E" w14:textId="2E9BCBB1" w:rsidR="0005692C" w:rsidRDefault="0005692C" w:rsidP="008B0635">
      <w:pPr>
        <w:pStyle w:val="Bezproreda"/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O</w:t>
      </w:r>
      <w:r w:rsidRPr="00EF781D">
        <w:rPr>
          <w:rFonts w:ascii="Cambria" w:hAnsi="Cambria" w:cstheme="minorHAnsi"/>
          <w:sz w:val="24"/>
          <w:szCs w:val="24"/>
        </w:rPr>
        <w:t xml:space="preserve">stvareni ukupni </w:t>
      </w:r>
      <w:r>
        <w:rPr>
          <w:rFonts w:ascii="Cambria" w:hAnsi="Cambria" w:cstheme="minorHAnsi"/>
          <w:sz w:val="24"/>
          <w:szCs w:val="24"/>
        </w:rPr>
        <w:t>rashodi</w:t>
      </w:r>
      <w:r w:rsidRPr="00EF781D">
        <w:rPr>
          <w:rFonts w:ascii="Cambria" w:hAnsi="Cambria" w:cstheme="minorHAnsi"/>
          <w:sz w:val="24"/>
          <w:szCs w:val="24"/>
        </w:rPr>
        <w:t xml:space="preserve">  na dan 3</w:t>
      </w:r>
      <w:r w:rsidR="00DF7A3D">
        <w:rPr>
          <w:rFonts w:ascii="Cambria" w:hAnsi="Cambria" w:cstheme="minorHAnsi"/>
          <w:sz w:val="24"/>
          <w:szCs w:val="24"/>
        </w:rPr>
        <w:t>1</w:t>
      </w:r>
      <w:r w:rsidRPr="00EF781D">
        <w:rPr>
          <w:rFonts w:ascii="Cambria" w:hAnsi="Cambria" w:cstheme="minorHAnsi"/>
          <w:sz w:val="24"/>
          <w:szCs w:val="24"/>
        </w:rPr>
        <w:t>.</w:t>
      </w:r>
      <w:r w:rsidR="00DF7A3D">
        <w:rPr>
          <w:rFonts w:ascii="Cambria" w:hAnsi="Cambria" w:cstheme="minorHAnsi"/>
          <w:sz w:val="24"/>
          <w:szCs w:val="24"/>
        </w:rPr>
        <w:t>12</w:t>
      </w:r>
      <w:r w:rsidRPr="00EF781D">
        <w:rPr>
          <w:rFonts w:ascii="Cambria" w:hAnsi="Cambria" w:cstheme="minorHAnsi"/>
          <w:sz w:val="24"/>
          <w:szCs w:val="24"/>
        </w:rPr>
        <w:t>.202</w:t>
      </w:r>
      <w:r w:rsidR="002C4BAE">
        <w:rPr>
          <w:rFonts w:ascii="Cambria" w:hAnsi="Cambria" w:cstheme="minorHAnsi"/>
          <w:sz w:val="24"/>
          <w:szCs w:val="24"/>
        </w:rPr>
        <w:t>4</w:t>
      </w:r>
      <w:r w:rsidRPr="00EF781D">
        <w:rPr>
          <w:rFonts w:ascii="Cambria" w:hAnsi="Cambria" w:cstheme="minorHAnsi"/>
          <w:sz w:val="24"/>
          <w:szCs w:val="24"/>
        </w:rPr>
        <w:t>. godine u izn</w:t>
      </w:r>
      <w:r w:rsidR="00DF7A3D">
        <w:rPr>
          <w:rFonts w:ascii="Cambria" w:hAnsi="Cambria" w:cstheme="minorHAnsi"/>
          <w:sz w:val="24"/>
          <w:szCs w:val="24"/>
        </w:rPr>
        <w:t>ose</w:t>
      </w:r>
      <w:r w:rsidRPr="00EF781D">
        <w:rPr>
          <w:rFonts w:ascii="Cambria" w:hAnsi="Cambria" w:cstheme="minorHAnsi"/>
          <w:sz w:val="24"/>
          <w:szCs w:val="24"/>
        </w:rPr>
        <w:t xml:space="preserve">  </w:t>
      </w:r>
      <w:r w:rsidR="002C4BAE">
        <w:rPr>
          <w:rFonts w:ascii="Cambria" w:hAnsi="Cambria" w:cstheme="minorHAnsi"/>
          <w:sz w:val="24"/>
          <w:szCs w:val="24"/>
        </w:rPr>
        <w:t>2.841.484,14</w:t>
      </w:r>
      <w:r w:rsidRPr="00EF781D">
        <w:rPr>
          <w:rFonts w:ascii="Cambria" w:hAnsi="Cambria" w:cstheme="minorHAnsi"/>
          <w:sz w:val="24"/>
          <w:szCs w:val="24"/>
        </w:rPr>
        <w:t xml:space="preserve"> €, a ostvareni </w:t>
      </w:r>
      <w:r>
        <w:rPr>
          <w:rFonts w:ascii="Cambria" w:hAnsi="Cambria" w:cstheme="minorHAnsi"/>
          <w:sz w:val="24"/>
          <w:szCs w:val="24"/>
        </w:rPr>
        <w:t>rashodi</w:t>
      </w:r>
      <w:r w:rsidRPr="00EF781D">
        <w:rPr>
          <w:rFonts w:ascii="Cambria" w:hAnsi="Cambria" w:cstheme="minorHAnsi"/>
          <w:sz w:val="24"/>
          <w:szCs w:val="24"/>
        </w:rPr>
        <w:t xml:space="preserve"> na dan 3</w:t>
      </w:r>
      <w:r w:rsidR="00DF7A3D">
        <w:rPr>
          <w:rFonts w:ascii="Cambria" w:hAnsi="Cambria" w:cstheme="minorHAnsi"/>
          <w:sz w:val="24"/>
          <w:szCs w:val="24"/>
        </w:rPr>
        <w:t>1</w:t>
      </w:r>
      <w:r w:rsidRPr="00EF781D">
        <w:rPr>
          <w:rFonts w:ascii="Cambria" w:hAnsi="Cambria" w:cstheme="minorHAnsi"/>
          <w:sz w:val="24"/>
          <w:szCs w:val="24"/>
        </w:rPr>
        <w:t>.</w:t>
      </w:r>
      <w:r w:rsidR="00DF7A3D">
        <w:rPr>
          <w:rFonts w:ascii="Cambria" w:hAnsi="Cambria" w:cstheme="minorHAnsi"/>
          <w:sz w:val="24"/>
          <w:szCs w:val="24"/>
        </w:rPr>
        <w:t>12</w:t>
      </w:r>
      <w:r w:rsidRPr="00EF781D">
        <w:rPr>
          <w:rFonts w:ascii="Cambria" w:hAnsi="Cambria" w:cstheme="minorHAnsi"/>
          <w:sz w:val="24"/>
          <w:szCs w:val="24"/>
        </w:rPr>
        <w:t>.202</w:t>
      </w:r>
      <w:r w:rsidR="002C4BAE">
        <w:rPr>
          <w:rFonts w:ascii="Cambria" w:hAnsi="Cambria" w:cstheme="minorHAnsi"/>
          <w:sz w:val="24"/>
          <w:szCs w:val="24"/>
        </w:rPr>
        <w:t>5</w:t>
      </w:r>
      <w:r w:rsidRPr="00EF781D">
        <w:rPr>
          <w:rFonts w:ascii="Cambria" w:hAnsi="Cambria" w:cstheme="minorHAnsi"/>
          <w:sz w:val="24"/>
          <w:szCs w:val="24"/>
        </w:rPr>
        <w:t>.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EF781D">
        <w:rPr>
          <w:rFonts w:ascii="Cambria" w:hAnsi="Cambria" w:cstheme="minorHAnsi"/>
          <w:sz w:val="24"/>
          <w:szCs w:val="24"/>
        </w:rPr>
        <w:t xml:space="preserve">godine iznose </w:t>
      </w:r>
      <w:r w:rsidR="002C4BAE">
        <w:rPr>
          <w:rFonts w:ascii="Cambria" w:hAnsi="Cambria" w:cstheme="minorHAnsi"/>
          <w:sz w:val="24"/>
          <w:szCs w:val="24"/>
        </w:rPr>
        <w:t>3.214.574,13</w:t>
      </w:r>
      <w:r w:rsidR="00963A96">
        <w:rPr>
          <w:rFonts w:ascii="Cambria" w:hAnsi="Cambria" w:cstheme="minorHAnsi"/>
          <w:sz w:val="24"/>
          <w:szCs w:val="24"/>
        </w:rPr>
        <w:t xml:space="preserve"> </w:t>
      </w:r>
      <w:r w:rsidRPr="00EF781D">
        <w:rPr>
          <w:rFonts w:ascii="Cambria" w:hAnsi="Cambria" w:cstheme="minorHAnsi"/>
          <w:sz w:val="24"/>
          <w:szCs w:val="24"/>
        </w:rPr>
        <w:t xml:space="preserve">€ što je za </w:t>
      </w:r>
      <w:r w:rsidR="002C4BAE">
        <w:rPr>
          <w:rFonts w:ascii="Cambria" w:hAnsi="Cambria" w:cstheme="minorHAnsi"/>
          <w:sz w:val="24"/>
          <w:szCs w:val="24"/>
        </w:rPr>
        <w:t>13,13</w:t>
      </w:r>
      <w:r w:rsidR="00963A96">
        <w:rPr>
          <w:rFonts w:ascii="Cambria" w:hAnsi="Cambria" w:cstheme="minorHAnsi"/>
          <w:sz w:val="24"/>
          <w:szCs w:val="24"/>
        </w:rPr>
        <w:t xml:space="preserve"> </w:t>
      </w:r>
      <w:r w:rsidRPr="00EF781D">
        <w:rPr>
          <w:rFonts w:ascii="Cambria" w:hAnsi="Cambria" w:cstheme="minorHAnsi"/>
          <w:sz w:val="24"/>
          <w:szCs w:val="24"/>
        </w:rPr>
        <w:t>%</w:t>
      </w:r>
      <w:r w:rsidR="00264F2E">
        <w:rPr>
          <w:rFonts w:ascii="Cambria" w:hAnsi="Cambria" w:cstheme="minorHAnsi"/>
          <w:sz w:val="24"/>
          <w:szCs w:val="24"/>
        </w:rPr>
        <w:t xml:space="preserve"> </w:t>
      </w:r>
      <w:r w:rsidRPr="00EF781D">
        <w:rPr>
          <w:rFonts w:ascii="Cambria" w:hAnsi="Cambria" w:cstheme="minorHAnsi"/>
          <w:sz w:val="24"/>
          <w:szCs w:val="24"/>
        </w:rPr>
        <w:lastRenderedPageBreak/>
        <w:t>više  u odnosu na prethodnu godinu.</w:t>
      </w:r>
      <w:r w:rsidRPr="0005692C">
        <w:rPr>
          <w:rFonts w:ascii="Cambria" w:hAnsi="Cambria" w:cstheme="minorHAnsi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 xml:space="preserve">U odnosu na </w:t>
      </w:r>
      <w:r w:rsidR="00D75CEA">
        <w:rPr>
          <w:rFonts w:ascii="Cambria" w:hAnsi="Cambria" w:cstheme="minorHAnsi"/>
          <w:sz w:val="24"/>
          <w:szCs w:val="24"/>
        </w:rPr>
        <w:t>Rebalans</w:t>
      </w:r>
      <w:r>
        <w:rPr>
          <w:rFonts w:ascii="Cambria" w:hAnsi="Cambria" w:cstheme="minorHAnsi"/>
          <w:sz w:val="24"/>
          <w:szCs w:val="24"/>
        </w:rPr>
        <w:t xml:space="preserve">  za 202</w:t>
      </w:r>
      <w:r w:rsidR="002C4BAE">
        <w:rPr>
          <w:rFonts w:ascii="Cambria" w:hAnsi="Cambria" w:cstheme="minorHAnsi"/>
          <w:sz w:val="24"/>
          <w:szCs w:val="24"/>
        </w:rPr>
        <w:t>5</w:t>
      </w:r>
      <w:r>
        <w:rPr>
          <w:rFonts w:ascii="Cambria" w:hAnsi="Cambria" w:cstheme="minorHAnsi"/>
          <w:sz w:val="24"/>
          <w:szCs w:val="24"/>
        </w:rPr>
        <w:t xml:space="preserve">. godini ostvareno je </w:t>
      </w:r>
      <w:r w:rsidR="002C4BAE">
        <w:rPr>
          <w:rFonts w:ascii="Cambria" w:hAnsi="Cambria" w:cstheme="minorHAnsi"/>
          <w:sz w:val="24"/>
          <w:szCs w:val="24"/>
        </w:rPr>
        <w:t>95,42</w:t>
      </w:r>
      <w:r>
        <w:rPr>
          <w:rFonts w:ascii="Cambria" w:hAnsi="Cambria" w:cstheme="minorHAnsi"/>
          <w:sz w:val="24"/>
          <w:szCs w:val="24"/>
        </w:rPr>
        <w:t xml:space="preserve"> %  rashoda. </w:t>
      </w:r>
    </w:p>
    <w:p w14:paraId="6F4D6FB0" w14:textId="08C2B10C" w:rsidR="008B0DFD" w:rsidRDefault="008B0DFD" w:rsidP="008B0635">
      <w:pPr>
        <w:pStyle w:val="Bezproreda"/>
        <w:spacing w:line="276" w:lineRule="auto"/>
        <w:rPr>
          <w:rFonts w:ascii="Cambria" w:hAnsi="Cambria" w:cstheme="minorHAnsi"/>
          <w:sz w:val="24"/>
          <w:szCs w:val="24"/>
        </w:rPr>
      </w:pPr>
    </w:p>
    <w:p w14:paraId="300EC173" w14:textId="55F7DD2A" w:rsidR="008B0DFD" w:rsidRDefault="008B0DFD" w:rsidP="008B0635">
      <w:pPr>
        <w:pStyle w:val="Bezproreda"/>
        <w:spacing w:line="276" w:lineRule="auto"/>
        <w:rPr>
          <w:rFonts w:ascii="Cambria" w:hAnsi="Cambria" w:cstheme="minorHAnsi"/>
          <w:sz w:val="24"/>
          <w:szCs w:val="24"/>
        </w:rPr>
      </w:pPr>
      <w:r w:rsidRPr="008B0DFD">
        <w:rPr>
          <w:rFonts w:ascii="Cambria" w:hAnsi="Cambria" w:cstheme="minorHAnsi"/>
          <w:sz w:val="24"/>
          <w:szCs w:val="24"/>
        </w:rPr>
        <w:t>Usporedbom tekućih podataka s podacima za isto razdoblje prethodne proračunske godine vidljivo je povećanje ostvarenih prihoda, ali i rashoda škole u tekućoj godini. Glavni razlog tome je povećanje rashoda za plaće i naknade plaća, koji u ovoj godini uključuju i 13. plaću te čine najveći udio ukupnih rashoda u proračunu škole.</w:t>
      </w:r>
    </w:p>
    <w:p w14:paraId="22261048" w14:textId="77777777" w:rsidR="00867077" w:rsidRPr="00867077" w:rsidRDefault="00867077" w:rsidP="008B0635">
      <w:pPr>
        <w:pStyle w:val="Bezproreda"/>
        <w:spacing w:line="276" w:lineRule="auto"/>
        <w:rPr>
          <w:rFonts w:ascii="Cambria" w:hAnsi="Cambria" w:cstheme="minorHAnsi"/>
          <w:sz w:val="24"/>
          <w:szCs w:val="24"/>
        </w:rPr>
      </w:pPr>
    </w:p>
    <w:p w14:paraId="25060B50" w14:textId="25339554" w:rsidR="00292D81" w:rsidRDefault="001A6F91" w:rsidP="008B0635">
      <w:pPr>
        <w:pStyle w:val="Bezproreda"/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Račun financiranja</w:t>
      </w:r>
    </w:p>
    <w:p w14:paraId="24979C62" w14:textId="77777777" w:rsidR="00264F2E" w:rsidRDefault="00264F2E" w:rsidP="008B0635">
      <w:pPr>
        <w:pStyle w:val="Bezproreda"/>
        <w:spacing w:line="276" w:lineRule="auto"/>
        <w:rPr>
          <w:rFonts w:ascii="Cambria" w:hAnsi="Cambria" w:cstheme="minorHAnsi"/>
          <w:sz w:val="24"/>
          <w:szCs w:val="24"/>
        </w:rPr>
      </w:pPr>
    </w:p>
    <w:p w14:paraId="5D950A95" w14:textId="7365D31D" w:rsidR="00292D81" w:rsidRDefault="00D93E75" w:rsidP="008B0635">
      <w:pPr>
        <w:pStyle w:val="Bezproreda"/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Škola u izvještajnom razdoblju nije ostvarila  prihode od financijske imovine i</w:t>
      </w:r>
      <w:r w:rsidR="001F17C2">
        <w:rPr>
          <w:rFonts w:ascii="Cambria" w:hAnsi="Cambria" w:cstheme="minorHAnsi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zaduživanja te nije imala izdatke za financijski imovinu i otplate zajmova.</w:t>
      </w:r>
    </w:p>
    <w:p w14:paraId="4EB5B9B4" w14:textId="2CA20994" w:rsidR="00D93E75" w:rsidRDefault="00D93E75" w:rsidP="008B0635">
      <w:pPr>
        <w:pStyle w:val="Bezproreda"/>
        <w:spacing w:line="276" w:lineRule="auto"/>
        <w:rPr>
          <w:rFonts w:ascii="Cambria" w:hAnsi="Cambria" w:cstheme="minorHAnsi"/>
          <w:sz w:val="24"/>
          <w:szCs w:val="24"/>
        </w:rPr>
      </w:pPr>
    </w:p>
    <w:p w14:paraId="4710400E" w14:textId="15D308DB" w:rsidR="001D5DF3" w:rsidRDefault="001D5DF3" w:rsidP="008B0635">
      <w:pPr>
        <w:pStyle w:val="Bezproreda"/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Stanje novčanih sredstava na </w:t>
      </w:r>
      <w:r w:rsidR="00171242">
        <w:rPr>
          <w:rFonts w:ascii="Cambria" w:hAnsi="Cambria" w:cstheme="minorHAnsi"/>
          <w:sz w:val="24"/>
          <w:szCs w:val="24"/>
        </w:rPr>
        <w:t xml:space="preserve">žiro </w:t>
      </w:r>
      <w:r>
        <w:rPr>
          <w:rFonts w:ascii="Cambria" w:hAnsi="Cambria" w:cstheme="minorHAnsi"/>
          <w:sz w:val="24"/>
          <w:szCs w:val="24"/>
        </w:rPr>
        <w:t xml:space="preserve">računu škole na početku izvještajnog razdoblja je </w:t>
      </w:r>
      <w:r w:rsidR="007863F7">
        <w:rPr>
          <w:rFonts w:ascii="Cambria" w:hAnsi="Cambria" w:cstheme="minorHAnsi"/>
          <w:sz w:val="24"/>
          <w:szCs w:val="24"/>
        </w:rPr>
        <w:t>18.109,67</w:t>
      </w:r>
      <w:r>
        <w:rPr>
          <w:rFonts w:ascii="Cambria" w:hAnsi="Cambria" w:cstheme="minorHAnsi"/>
          <w:sz w:val="24"/>
          <w:szCs w:val="24"/>
        </w:rPr>
        <w:t xml:space="preserve"> eura, a na kraju </w:t>
      </w:r>
      <w:r w:rsidR="007863F7">
        <w:rPr>
          <w:rFonts w:ascii="Cambria" w:hAnsi="Cambria" w:cstheme="minorHAnsi"/>
          <w:sz w:val="24"/>
          <w:szCs w:val="24"/>
        </w:rPr>
        <w:t>0,00</w:t>
      </w:r>
      <w:r>
        <w:rPr>
          <w:rFonts w:ascii="Cambria" w:hAnsi="Cambria" w:cstheme="minorHAnsi"/>
          <w:sz w:val="24"/>
          <w:szCs w:val="24"/>
        </w:rPr>
        <w:t xml:space="preserve"> eura</w:t>
      </w:r>
      <w:r w:rsidR="007863F7">
        <w:rPr>
          <w:rFonts w:ascii="Cambria" w:hAnsi="Cambria" w:cstheme="minorHAnsi"/>
          <w:sz w:val="24"/>
          <w:szCs w:val="24"/>
        </w:rPr>
        <w:t xml:space="preserve"> zbog prijenosa novčanih sredstava na žiro račun Zagrebačke županije s 30.12.2025. i zatvaranjem žiro računa škole.</w:t>
      </w:r>
    </w:p>
    <w:p w14:paraId="5E900AC3" w14:textId="77777777" w:rsidR="00264F2E" w:rsidRDefault="00264F2E" w:rsidP="008B0635">
      <w:pPr>
        <w:pStyle w:val="Bezproreda"/>
        <w:spacing w:line="276" w:lineRule="auto"/>
        <w:rPr>
          <w:rFonts w:ascii="Cambria" w:hAnsi="Cambria" w:cstheme="minorHAnsi"/>
          <w:sz w:val="24"/>
          <w:szCs w:val="24"/>
        </w:rPr>
      </w:pPr>
    </w:p>
    <w:p w14:paraId="489D3A74" w14:textId="77777777" w:rsidR="00264F2E" w:rsidRDefault="00264F2E" w:rsidP="008B0635">
      <w:pPr>
        <w:pStyle w:val="Bezproreda"/>
        <w:spacing w:line="276" w:lineRule="auto"/>
        <w:rPr>
          <w:rFonts w:ascii="Cambria" w:hAnsi="Cambria" w:cstheme="minorHAnsi"/>
          <w:sz w:val="24"/>
          <w:szCs w:val="24"/>
        </w:rPr>
      </w:pPr>
    </w:p>
    <w:p w14:paraId="50E8BA58" w14:textId="5F42841C" w:rsidR="0017143F" w:rsidRDefault="0017143F" w:rsidP="00264F2E">
      <w:pPr>
        <w:pStyle w:val="Bezproreda"/>
        <w:spacing w:line="276" w:lineRule="auto"/>
        <w:jc w:val="center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 xml:space="preserve"> </w:t>
      </w:r>
      <w:r w:rsidR="00292D81" w:rsidRPr="00292D81">
        <w:rPr>
          <w:rFonts w:ascii="Cambria" w:hAnsi="Cambria" w:cstheme="minorHAnsi"/>
          <w:i/>
          <w:sz w:val="24"/>
          <w:szCs w:val="24"/>
        </w:rPr>
        <w:t>Račun prihoda i rashoda</w:t>
      </w:r>
    </w:p>
    <w:p w14:paraId="144EFECB" w14:textId="77777777" w:rsidR="00264F2E" w:rsidRPr="00264F2E" w:rsidRDefault="00264F2E" w:rsidP="00264F2E">
      <w:pPr>
        <w:pStyle w:val="Bezproreda"/>
        <w:spacing w:line="276" w:lineRule="auto"/>
        <w:jc w:val="center"/>
        <w:rPr>
          <w:rFonts w:ascii="Cambria" w:hAnsi="Cambria" w:cstheme="minorHAnsi"/>
          <w:i/>
          <w:sz w:val="24"/>
          <w:szCs w:val="24"/>
        </w:rPr>
      </w:pPr>
    </w:p>
    <w:p w14:paraId="16557816" w14:textId="207248CA" w:rsidR="00292D81" w:rsidRDefault="0017143F" w:rsidP="008B0635">
      <w:pPr>
        <w:spacing w:line="276" w:lineRule="auto"/>
        <w:jc w:val="center"/>
        <w:rPr>
          <w:rStyle w:val="pt-zadanifontodlomka-000009"/>
          <w:i/>
          <w:iCs/>
        </w:rPr>
      </w:pPr>
      <w:r w:rsidRPr="0017143F">
        <w:rPr>
          <w:rStyle w:val="pt-zadanifontodlomka-000009"/>
          <w:rFonts w:ascii="Cambria" w:hAnsi="Cambria"/>
          <w:i/>
          <w:iCs/>
          <w:sz w:val="24"/>
          <w:szCs w:val="24"/>
        </w:rPr>
        <w:t>Izvještaj o prihodima i rashodima prema ekonomskoj klasifikacij</w:t>
      </w:r>
      <w:r w:rsidRPr="0017143F">
        <w:rPr>
          <w:rStyle w:val="pt-zadanifontodlomka-000009"/>
          <w:i/>
          <w:iCs/>
        </w:rPr>
        <w:t>i</w:t>
      </w:r>
    </w:p>
    <w:p w14:paraId="5EFE6D26" w14:textId="61AE22D8" w:rsidR="001B57B2" w:rsidRDefault="001B57B2" w:rsidP="008B0635">
      <w:pPr>
        <w:spacing w:line="276" w:lineRule="auto"/>
        <w:jc w:val="center"/>
        <w:rPr>
          <w:rStyle w:val="pt-zadanifontodlomka-000009"/>
          <w:i/>
          <w:iCs/>
        </w:rPr>
      </w:pPr>
    </w:p>
    <w:p w14:paraId="707BA2B7" w14:textId="0307D502" w:rsidR="001B57B2" w:rsidRDefault="00A802E9" w:rsidP="008B0635">
      <w:pPr>
        <w:spacing w:line="276" w:lineRule="auto"/>
        <w:jc w:val="center"/>
        <w:rPr>
          <w:rStyle w:val="pt-zadanifontodlomka-000009"/>
          <w:i/>
          <w:iCs/>
        </w:rPr>
      </w:pPr>
      <w:r>
        <w:rPr>
          <w:i/>
          <w:iCs/>
          <w:noProof/>
        </w:rPr>
        <w:drawing>
          <wp:inline distT="0" distB="0" distL="0" distR="0" wp14:anchorId="5E836985" wp14:editId="17D21C9E">
            <wp:extent cx="5920740" cy="3667125"/>
            <wp:effectExtent l="0" t="0" r="3810" b="952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C0C5607" w14:textId="304D4B6C" w:rsidR="001B57B2" w:rsidRDefault="001B57B2" w:rsidP="008B0635">
      <w:pPr>
        <w:spacing w:line="276" w:lineRule="auto"/>
        <w:jc w:val="center"/>
        <w:rPr>
          <w:rStyle w:val="pt-zadanifontodlomka-000009"/>
          <w:i/>
          <w:iCs/>
        </w:rPr>
      </w:pPr>
    </w:p>
    <w:p w14:paraId="5730BB28" w14:textId="6C857252" w:rsidR="001B57B2" w:rsidRPr="00F4230E" w:rsidRDefault="001E06A8" w:rsidP="008B0635">
      <w:pPr>
        <w:spacing w:line="276" w:lineRule="auto"/>
        <w:rPr>
          <w:rStyle w:val="pt-zadanifontodlomka-000009"/>
          <w:rFonts w:ascii="Cambria" w:hAnsi="Cambria"/>
          <w:iCs/>
          <w:sz w:val="24"/>
          <w:szCs w:val="24"/>
        </w:rPr>
      </w:pPr>
      <w:r w:rsidRPr="00BB1AB3">
        <w:rPr>
          <w:rStyle w:val="pt-zadanifontodlomka-000009"/>
          <w:rFonts w:ascii="Cambria" w:hAnsi="Cambria"/>
          <w:iCs/>
          <w:sz w:val="24"/>
          <w:szCs w:val="24"/>
        </w:rPr>
        <w:t>Grafikon 2. Prihodi prema ekonomskoj klasifikaciji</w:t>
      </w:r>
    </w:p>
    <w:p w14:paraId="6CA5C605" w14:textId="422920CC" w:rsidR="00607C0B" w:rsidRDefault="001F17C2" w:rsidP="008B0635">
      <w:pPr>
        <w:spacing w:line="276" w:lineRule="auto"/>
        <w:rPr>
          <w:rStyle w:val="pt-zadanifontodlomka-000009"/>
          <w:rFonts w:ascii="Cambria" w:hAnsi="Cambria"/>
          <w:iCs/>
          <w:sz w:val="24"/>
          <w:szCs w:val="24"/>
        </w:rPr>
      </w:pPr>
      <w:r w:rsidRPr="001F17C2">
        <w:rPr>
          <w:rStyle w:val="pt-zadanifontodlomka-000009"/>
          <w:rFonts w:ascii="Cambria" w:hAnsi="Cambria"/>
          <w:iCs/>
          <w:sz w:val="24"/>
          <w:szCs w:val="24"/>
        </w:rPr>
        <w:lastRenderedPageBreak/>
        <w:t xml:space="preserve">Škola najznačajnije </w:t>
      </w:r>
      <w:r>
        <w:rPr>
          <w:rStyle w:val="pt-zadanifontodlomka-000009"/>
          <w:rFonts w:ascii="Cambria" w:hAnsi="Cambria"/>
          <w:iCs/>
          <w:sz w:val="24"/>
          <w:szCs w:val="24"/>
        </w:rPr>
        <w:t>prihode ostvaruje</w:t>
      </w:r>
      <w:r w:rsidR="009822C4">
        <w:rPr>
          <w:rStyle w:val="pt-zadanifontodlomka-000009"/>
          <w:rFonts w:ascii="Cambria" w:hAnsi="Cambria"/>
          <w:iCs/>
          <w:sz w:val="24"/>
          <w:szCs w:val="24"/>
        </w:rPr>
        <w:t xml:space="preserve"> od pomoći iz državnog proračuna. Ostali prihodi čine manji dio ukupnih prihoda škole. </w:t>
      </w:r>
      <w:r w:rsidR="008744C0">
        <w:rPr>
          <w:rStyle w:val="pt-zadanifontodlomka-000009"/>
          <w:rFonts w:ascii="Cambria" w:hAnsi="Cambria"/>
          <w:iCs/>
          <w:sz w:val="24"/>
          <w:szCs w:val="24"/>
        </w:rPr>
        <w:t xml:space="preserve">Prihod 63 Pomoći od subjekata unutar proračuna povećana su u odnosu na prošlo izvještajno razdoblje za </w:t>
      </w:r>
      <w:r w:rsidR="00AB549B">
        <w:rPr>
          <w:rStyle w:val="pt-zadanifontodlomka-000009"/>
          <w:rFonts w:ascii="Cambria" w:hAnsi="Cambria"/>
          <w:iCs/>
          <w:sz w:val="24"/>
          <w:szCs w:val="24"/>
        </w:rPr>
        <w:t>4,97</w:t>
      </w:r>
      <w:r w:rsidR="00163218">
        <w:rPr>
          <w:rStyle w:val="pt-zadanifontodlomka-000009"/>
          <w:rFonts w:ascii="Cambria" w:hAnsi="Cambria"/>
          <w:iCs/>
          <w:sz w:val="24"/>
          <w:szCs w:val="24"/>
        </w:rPr>
        <w:t xml:space="preserve"> </w:t>
      </w:r>
      <w:r w:rsidR="008744C0">
        <w:rPr>
          <w:rStyle w:val="pt-zadanifontodlomka-000009"/>
          <w:rFonts w:ascii="Cambria" w:hAnsi="Cambria"/>
          <w:iCs/>
          <w:sz w:val="24"/>
          <w:szCs w:val="24"/>
        </w:rPr>
        <w:t>%.</w:t>
      </w:r>
      <w:r w:rsidR="00163218">
        <w:rPr>
          <w:rStyle w:val="pt-zadanifontodlomka-000009"/>
          <w:rFonts w:ascii="Cambria" w:hAnsi="Cambria"/>
          <w:iCs/>
          <w:sz w:val="24"/>
          <w:szCs w:val="24"/>
        </w:rPr>
        <w:t xml:space="preserve"> </w:t>
      </w:r>
    </w:p>
    <w:p w14:paraId="0EE76917" w14:textId="137A9DB9" w:rsidR="00C51F02" w:rsidRDefault="00C51F02" w:rsidP="008B0635">
      <w:pPr>
        <w:spacing w:line="276" w:lineRule="auto"/>
        <w:rPr>
          <w:rStyle w:val="pt-zadanifontodlomka-000009"/>
          <w:rFonts w:ascii="Cambria" w:hAnsi="Cambria"/>
          <w:iCs/>
          <w:sz w:val="24"/>
          <w:szCs w:val="24"/>
        </w:rPr>
      </w:pPr>
    </w:p>
    <w:p w14:paraId="62017229" w14:textId="77777777" w:rsidR="00F4230E" w:rsidRDefault="00F4230E" w:rsidP="008B0635">
      <w:pPr>
        <w:spacing w:line="276" w:lineRule="auto"/>
        <w:rPr>
          <w:rStyle w:val="pt-zadanifontodlomka-000009"/>
          <w:rFonts w:ascii="Cambria" w:hAnsi="Cambria"/>
          <w:iCs/>
          <w:sz w:val="24"/>
          <w:szCs w:val="24"/>
        </w:rPr>
      </w:pPr>
    </w:p>
    <w:p w14:paraId="3B3CC257" w14:textId="77777777" w:rsidR="00C51F02" w:rsidRPr="001F17C2" w:rsidRDefault="00C51F02" w:rsidP="008B0635">
      <w:pPr>
        <w:spacing w:line="276" w:lineRule="auto"/>
        <w:rPr>
          <w:rStyle w:val="pt-zadanifontodlomka-000009"/>
          <w:rFonts w:ascii="Cambria" w:hAnsi="Cambria"/>
          <w:iCs/>
          <w:sz w:val="24"/>
          <w:szCs w:val="24"/>
        </w:rPr>
      </w:pPr>
    </w:p>
    <w:p w14:paraId="3038C5FD" w14:textId="48B5EAF1" w:rsidR="001B57B2" w:rsidRDefault="00A802E9" w:rsidP="008B0635">
      <w:pPr>
        <w:spacing w:line="276" w:lineRule="auto"/>
        <w:jc w:val="center"/>
        <w:rPr>
          <w:rStyle w:val="pt-zadanifontodlomka-000009"/>
          <w:i/>
          <w:iCs/>
        </w:rPr>
      </w:pPr>
      <w:r>
        <w:rPr>
          <w:i/>
          <w:iCs/>
          <w:noProof/>
        </w:rPr>
        <w:drawing>
          <wp:inline distT="0" distB="0" distL="0" distR="0" wp14:anchorId="0602EC95" wp14:editId="088E3DF6">
            <wp:extent cx="5920740" cy="3695700"/>
            <wp:effectExtent l="0" t="0" r="3810" b="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655462" w14:textId="3639B714" w:rsidR="001B57B2" w:rsidRDefault="001B57B2" w:rsidP="008B0635">
      <w:pPr>
        <w:spacing w:line="276" w:lineRule="auto"/>
        <w:jc w:val="center"/>
        <w:rPr>
          <w:rStyle w:val="pt-zadanifontodlomka-000009"/>
          <w:i/>
          <w:iCs/>
        </w:rPr>
      </w:pPr>
    </w:p>
    <w:p w14:paraId="2FA05187" w14:textId="0FF43605" w:rsidR="001E06A8" w:rsidRPr="00BB1AB3" w:rsidRDefault="001E06A8" w:rsidP="008B0635">
      <w:pPr>
        <w:spacing w:line="276" w:lineRule="auto"/>
        <w:rPr>
          <w:rStyle w:val="pt-zadanifontodlomka-000009"/>
          <w:rFonts w:ascii="Cambria" w:hAnsi="Cambria"/>
          <w:iCs/>
          <w:sz w:val="24"/>
          <w:szCs w:val="24"/>
        </w:rPr>
      </w:pPr>
      <w:r w:rsidRPr="00BB1AB3">
        <w:rPr>
          <w:rStyle w:val="pt-zadanifontodlomka-000009"/>
          <w:rFonts w:ascii="Cambria" w:hAnsi="Cambria"/>
          <w:iCs/>
          <w:sz w:val="24"/>
          <w:szCs w:val="24"/>
        </w:rPr>
        <w:t xml:space="preserve">Grafikon </w:t>
      </w:r>
      <w:r w:rsidR="008744C0" w:rsidRPr="00BB1AB3">
        <w:rPr>
          <w:rStyle w:val="pt-zadanifontodlomka-000009"/>
          <w:rFonts w:ascii="Cambria" w:hAnsi="Cambria"/>
          <w:iCs/>
          <w:sz w:val="24"/>
          <w:szCs w:val="24"/>
        </w:rPr>
        <w:t>3</w:t>
      </w:r>
      <w:r w:rsidRPr="00BB1AB3">
        <w:rPr>
          <w:rStyle w:val="pt-zadanifontodlomka-000009"/>
          <w:rFonts w:ascii="Cambria" w:hAnsi="Cambria"/>
          <w:iCs/>
          <w:sz w:val="24"/>
          <w:szCs w:val="24"/>
        </w:rPr>
        <w:t>. Rashodi prema ekonomskoj klasifikaciji</w:t>
      </w:r>
    </w:p>
    <w:p w14:paraId="34646928" w14:textId="77777777" w:rsidR="001E06A8" w:rsidRPr="00BB1AB3" w:rsidRDefault="001E06A8" w:rsidP="008B0635">
      <w:pPr>
        <w:spacing w:line="276" w:lineRule="auto"/>
        <w:jc w:val="center"/>
        <w:rPr>
          <w:rStyle w:val="pt-zadanifontodlomka-000009"/>
          <w:i/>
          <w:iCs/>
          <w:sz w:val="24"/>
          <w:szCs w:val="24"/>
        </w:rPr>
      </w:pPr>
    </w:p>
    <w:p w14:paraId="41101DD2" w14:textId="6D9A80A9" w:rsidR="00812D6C" w:rsidRDefault="00812D6C" w:rsidP="008B0635">
      <w:pPr>
        <w:spacing w:line="276" w:lineRule="auto"/>
        <w:jc w:val="both"/>
        <w:rPr>
          <w:rFonts w:ascii="Cambria" w:eastAsiaTheme="minorHAnsi" w:hAnsi="Cambria" w:cstheme="minorHAnsi"/>
          <w:sz w:val="24"/>
          <w:szCs w:val="24"/>
        </w:rPr>
      </w:pPr>
      <w:r w:rsidRPr="00812D6C">
        <w:rPr>
          <w:rFonts w:ascii="Cambria" w:eastAsiaTheme="minorHAnsi" w:hAnsi="Cambria" w:cstheme="minorHAnsi"/>
          <w:sz w:val="24"/>
          <w:szCs w:val="24"/>
        </w:rPr>
        <w:t xml:space="preserve">U strukturi ukupno ostvarenih rashoda i izdataka najveći udio čine rashodi za zaposlene. Rashodi za zaposlene povećani su u odnosu na prethodnu godinu za 14,93 %. Također, rashodi na kontu 42 – Rashodi za nabavu proizvedene dugotrajne imovine – porasli su za 63,05 % u odnosu na prethodno razdoblje. Navedeno povećanje rezultat je rasta rashoda za izgradnju školske dvorane u Lupoglavu, dok se rashodi na kontu 45 – Dodatna ulaganja </w:t>
      </w:r>
      <w:r>
        <w:rPr>
          <w:rFonts w:ascii="Cambria" w:eastAsiaTheme="minorHAnsi" w:hAnsi="Cambria" w:cstheme="minorHAnsi"/>
          <w:sz w:val="24"/>
          <w:szCs w:val="24"/>
        </w:rPr>
        <w:t xml:space="preserve">- </w:t>
      </w:r>
      <w:r w:rsidRPr="00812D6C">
        <w:rPr>
          <w:rFonts w:ascii="Cambria" w:eastAsiaTheme="minorHAnsi" w:hAnsi="Cambria" w:cstheme="minorHAnsi"/>
          <w:sz w:val="24"/>
          <w:szCs w:val="24"/>
        </w:rPr>
        <w:t>odnose na rashode za izgradnju dvorane u Božjakovini.</w:t>
      </w:r>
    </w:p>
    <w:p w14:paraId="1F791021" w14:textId="77777777" w:rsidR="009477EB" w:rsidRDefault="009477EB" w:rsidP="008B0635">
      <w:pPr>
        <w:spacing w:line="276" w:lineRule="auto"/>
        <w:jc w:val="both"/>
        <w:rPr>
          <w:rFonts w:ascii="Cambria" w:eastAsiaTheme="minorHAnsi" w:hAnsi="Cambria" w:cstheme="minorHAnsi"/>
          <w:sz w:val="24"/>
          <w:szCs w:val="24"/>
        </w:rPr>
      </w:pPr>
    </w:p>
    <w:p w14:paraId="1AD10F21" w14:textId="77777777" w:rsidR="009477EB" w:rsidRDefault="009477EB" w:rsidP="008B0635">
      <w:pPr>
        <w:spacing w:line="276" w:lineRule="auto"/>
        <w:jc w:val="both"/>
        <w:rPr>
          <w:rFonts w:ascii="Cambria" w:eastAsiaTheme="minorHAnsi" w:hAnsi="Cambria" w:cstheme="minorHAnsi"/>
          <w:sz w:val="24"/>
          <w:szCs w:val="24"/>
        </w:rPr>
      </w:pPr>
    </w:p>
    <w:p w14:paraId="2B031EF2" w14:textId="77777777" w:rsidR="009477EB" w:rsidRDefault="009477EB" w:rsidP="008B0635">
      <w:pPr>
        <w:spacing w:line="276" w:lineRule="auto"/>
        <w:jc w:val="both"/>
        <w:rPr>
          <w:rFonts w:ascii="Cambria" w:eastAsiaTheme="minorHAnsi" w:hAnsi="Cambria" w:cstheme="minorHAnsi"/>
          <w:sz w:val="24"/>
          <w:szCs w:val="24"/>
        </w:rPr>
      </w:pPr>
    </w:p>
    <w:p w14:paraId="35B7D089" w14:textId="77777777" w:rsidR="009477EB" w:rsidRDefault="009477EB" w:rsidP="008B0635">
      <w:pPr>
        <w:spacing w:line="276" w:lineRule="auto"/>
        <w:jc w:val="both"/>
        <w:rPr>
          <w:rFonts w:ascii="Cambria" w:eastAsiaTheme="minorHAnsi" w:hAnsi="Cambria" w:cstheme="minorHAnsi"/>
          <w:sz w:val="24"/>
          <w:szCs w:val="24"/>
        </w:rPr>
      </w:pPr>
    </w:p>
    <w:p w14:paraId="7A5958B0" w14:textId="77777777" w:rsidR="009477EB" w:rsidRDefault="009477EB" w:rsidP="008B0635">
      <w:pPr>
        <w:spacing w:line="276" w:lineRule="auto"/>
        <w:jc w:val="both"/>
        <w:rPr>
          <w:rFonts w:ascii="Cambria" w:eastAsiaTheme="minorHAnsi" w:hAnsi="Cambria" w:cstheme="minorHAnsi"/>
          <w:sz w:val="24"/>
          <w:szCs w:val="24"/>
        </w:rPr>
      </w:pPr>
    </w:p>
    <w:p w14:paraId="7EFD6BFA" w14:textId="77777777" w:rsidR="009477EB" w:rsidRDefault="009477EB" w:rsidP="008B0635">
      <w:pPr>
        <w:spacing w:line="276" w:lineRule="auto"/>
        <w:jc w:val="both"/>
        <w:rPr>
          <w:rFonts w:ascii="Cambria" w:eastAsiaTheme="minorHAnsi" w:hAnsi="Cambria" w:cstheme="minorHAnsi"/>
          <w:sz w:val="24"/>
          <w:szCs w:val="24"/>
        </w:rPr>
      </w:pPr>
    </w:p>
    <w:p w14:paraId="1AE862A8" w14:textId="77777777" w:rsidR="009477EB" w:rsidRDefault="009477EB" w:rsidP="008B0635">
      <w:pPr>
        <w:spacing w:line="276" w:lineRule="auto"/>
        <w:jc w:val="both"/>
        <w:rPr>
          <w:rFonts w:ascii="Cambria" w:eastAsiaTheme="minorHAnsi" w:hAnsi="Cambria" w:cstheme="minorHAnsi"/>
          <w:sz w:val="24"/>
          <w:szCs w:val="24"/>
        </w:rPr>
      </w:pPr>
    </w:p>
    <w:p w14:paraId="03D4A9B5" w14:textId="77777777" w:rsidR="009477EB" w:rsidRDefault="009477EB" w:rsidP="008B0635">
      <w:pPr>
        <w:spacing w:line="276" w:lineRule="auto"/>
        <w:jc w:val="both"/>
        <w:rPr>
          <w:rFonts w:ascii="Cambria" w:eastAsiaTheme="minorHAnsi" w:hAnsi="Cambria" w:cstheme="minorHAnsi"/>
          <w:sz w:val="24"/>
          <w:szCs w:val="24"/>
        </w:rPr>
      </w:pPr>
    </w:p>
    <w:p w14:paraId="147F6632" w14:textId="77777777" w:rsidR="00264F2E" w:rsidRDefault="00264F2E" w:rsidP="008B0635">
      <w:pPr>
        <w:spacing w:line="276" w:lineRule="auto"/>
        <w:jc w:val="both"/>
        <w:rPr>
          <w:rFonts w:ascii="Cambria" w:eastAsiaTheme="minorHAnsi" w:hAnsi="Cambria" w:cstheme="minorHAnsi"/>
          <w:sz w:val="24"/>
          <w:szCs w:val="24"/>
        </w:rPr>
      </w:pPr>
    </w:p>
    <w:p w14:paraId="29A1529B" w14:textId="77777777" w:rsidR="00812D6C" w:rsidRDefault="00812D6C" w:rsidP="008B0635">
      <w:pPr>
        <w:spacing w:line="276" w:lineRule="auto"/>
        <w:jc w:val="center"/>
        <w:rPr>
          <w:rStyle w:val="pt-zadanifontodlomka-000009"/>
          <w:rFonts w:ascii="Cambria" w:hAnsi="Cambria"/>
          <w:i/>
          <w:iCs/>
          <w:sz w:val="24"/>
          <w:szCs w:val="24"/>
        </w:rPr>
      </w:pPr>
    </w:p>
    <w:p w14:paraId="4201A144" w14:textId="2254C89F" w:rsidR="006B12B3" w:rsidRPr="0017143F" w:rsidRDefault="006B12B3" w:rsidP="008B0635">
      <w:pPr>
        <w:spacing w:line="276" w:lineRule="auto"/>
        <w:jc w:val="center"/>
        <w:rPr>
          <w:i/>
        </w:rPr>
      </w:pPr>
      <w:r w:rsidRPr="0017143F">
        <w:rPr>
          <w:rStyle w:val="pt-zadanifontodlomka-000009"/>
          <w:rFonts w:ascii="Cambria" w:hAnsi="Cambria"/>
          <w:i/>
          <w:iCs/>
          <w:sz w:val="24"/>
          <w:szCs w:val="24"/>
        </w:rPr>
        <w:lastRenderedPageBreak/>
        <w:t xml:space="preserve">Izvještaj o prihodima i rashodima prema </w:t>
      </w:r>
      <w:r>
        <w:rPr>
          <w:rStyle w:val="pt-zadanifontodlomka-000009"/>
          <w:rFonts w:ascii="Cambria" w:hAnsi="Cambria"/>
          <w:i/>
          <w:iCs/>
          <w:sz w:val="24"/>
          <w:szCs w:val="24"/>
        </w:rPr>
        <w:t>izvorima financiranja</w:t>
      </w:r>
    </w:p>
    <w:p w14:paraId="0682C870" w14:textId="77777777" w:rsidR="006B12B3" w:rsidRPr="0017143F" w:rsidRDefault="006B12B3" w:rsidP="008B0635">
      <w:pPr>
        <w:spacing w:line="276" w:lineRule="auto"/>
        <w:jc w:val="center"/>
        <w:rPr>
          <w:i/>
        </w:rPr>
      </w:pPr>
    </w:p>
    <w:p w14:paraId="5C8DF994" w14:textId="77777777" w:rsidR="0005692C" w:rsidRPr="00B331CB" w:rsidRDefault="009431E4" w:rsidP="008B0635">
      <w:pPr>
        <w:pStyle w:val="Bezproreda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66C66209" wp14:editId="59C04B8E">
            <wp:extent cx="5562600" cy="3095625"/>
            <wp:effectExtent l="0" t="0" r="0" b="952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DAC99E7" w14:textId="77777777" w:rsidR="0005692C" w:rsidRPr="00EF781D" w:rsidRDefault="0005692C" w:rsidP="008B0635">
      <w:pPr>
        <w:pStyle w:val="Bezproreda"/>
        <w:spacing w:line="276" w:lineRule="auto"/>
        <w:rPr>
          <w:rFonts w:ascii="Cambria" w:hAnsi="Cambria" w:cstheme="minorHAnsi"/>
          <w:sz w:val="24"/>
          <w:szCs w:val="24"/>
        </w:rPr>
      </w:pPr>
    </w:p>
    <w:p w14:paraId="71991C6A" w14:textId="0AC03AE3" w:rsidR="00F71AB4" w:rsidRPr="00A802E9" w:rsidRDefault="00B15273" w:rsidP="008B0635">
      <w:pPr>
        <w:pStyle w:val="Bezproreda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bookmarkStart w:id="1" w:name="_Hlk139925064"/>
      <w:r w:rsidRPr="00A802E9">
        <w:rPr>
          <w:rFonts w:ascii="Cambria" w:hAnsi="Cambria" w:cstheme="minorHAnsi"/>
          <w:sz w:val="24"/>
          <w:szCs w:val="24"/>
        </w:rPr>
        <w:t xml:space="preserve">Grafikon </w:t>
      </w:r>
      <w:r w:rsidR="008744C0">
        <w:rPr>
          <w:rFonts w:ascii="Cambria" w:hAnsi="Cambria" w:cstheme="minorHAnsi"/>
          <w:sz w:val="24"/>
          <w:szCs w:val="24"/>
        </w:rPr>
        <w:t>4</w:t>
      </w:r>
      <w:r w:rsidRPr="00A802E9">
        <w:rPr>
          <w:rFonts w:ascii="Cambria" w:hAnsi="Cambria" w:cstheme="minorHAnsi"/>
          <w:sz w:val="24"/>
          <w:szCs w:val="24"/>
        </w:rPr>
        <w:t>. Prihodi prema izvoru financiranja</w:t>
      </w:r>
    </w:p>
    <w:p w14:paraId="19E4051F" w14:textId="77777777" w:rsidR="00A54840" w:rsidRPr="00A802E9" w:rsidRDefault="00A54840" w:rsidP="008B0635">
      <w:pPr>
        <w:pStyle w:val="Bezproreda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bookmarkEnd w:id="0"/>
    <w:bookmarkEnd w:id="1"/>
    <w:p w14:paraId="09F393D9" w14:textId="76804A6D" w:rsidR="001E06A8" w:rsidRDefault="00A54840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  <w:r w:rsidRPr="00A802E9">
        <w:rPr>
          <w:rFonts w:ascii="Cambria" w:hAnsi="Cambria" w:cstheme="minorHAnsi"/>
          <w:sz w:val="24"/>
          <w:szCs w:val="24"/>
        </w:rPr>
        <w:t xml:space="preserve">U Grafikonu </w:t>
      </w:r>
      <w:r w:rsidR="008744C0">
        <w:rPr>
          <w:rFonts w:ascii="Cambria" w:hAnsi="Cambria" w:cstheme="minorHAnsi"/>
          <w:sz w:val="24"/>
          <w:szCs w:val="24"/>
        </w:rPr>
        <w:t>4</w:t>
      </w:r>
      <w:r w:rsidRPr="00A802E9">
        <w:rPr>
          <w:rFonts w:ascii="Cambria" w:hAnsi="Cambria" w:cstheme="minorHAnsi"/>
          <w:sz w:val="24"/>
          <w:szCs w:val="24"/>
        </w:rPr>
        <w:t xml:space="preserve">. su prikazani prihodi ukupno po izvorima, iz kojih je vidljivo da je najviše prihoda ostvareno iz Izvora 5 Pomoći koje uključuju tekuće </w:t>
      </w:r>
      <w:r w:rsidR="00FD1AA6">
        <w:rPr>
          <w:rFonts w:ascii="Cambria" w:hAnsi="Cambria" w:cstheme="minorHAnsi"/>
          <w:sz w:val="24"/>
          <w:szCs w:val="24"/>
        </w:rPr>
        <w:t xml:space="preserve">i kapitalne </w:t>
      </w:r>
      <w:r w:rsidRPr="00A802E9">
        <w:rPr>
          <w:rFonts w:ascii="Cambria" w:hAnsi="Cambria" w:cstheme="minorHAnsi"/>
          <w:sz w:val="24"/>
          <w:szCs w:val="24"/>
        </w:rPr>
        <w:t>pomoći od strane Ministarstva znanosti</w:t>
      </w:r>
      <w:r w:rsidR="007958FC">
        <w:rPr>
          <w:rFonts w:ascii="Cambria" w:hAnsi="Cambria" w:cstheme="minorHAnsi"/>
          <w:sz w:val="24"/>
          <w:szCs w:val="24"/>
        </w:rPr>
        <w:t xml:space="preserve">, </w:t>
      </w:r>
      <w:r w:rsidRPr="00A802E9">
        <w:rPr>
          <w:rFonts w:ascii="Cambria" w:hAnsi="Cambria" w:cstheme="minorHAnsi"/>
          <w:sz w:val="24"/>
          <w:szCs w:val="24"/>
        </w:rPr>
        <w:t>obrazovanje</w:t>
      </w:r>
      <w:r w:rsidR="007958FC">
        <w:rPr>
          <w:rFonts w:ascii="Cambria" w:hAnsi="Cambria" w:cstheme="minorHAnsi"/>
          <w:sz w:val="24"/>
          <w:szCs w:val="24"/>
        </w:rPr>
        <w:t xml:space="preserve"> i mladih</w:t>
      </w:r>
      <w:r w:rsidRPr="00A802E9">
        <w:rPr>
          <w:rFonts w:ascii="Cambria" w:hAnsi="Cambria" w:cstheme="minorHAnsi"/>
          <w:sz w:val="24"/>
          <w:szCs w:val="24"/>
        </w:rPr>
        <w:t>, pomoći od Općine Brckovljani i grada Dugog Sela.</w:t>
      </w:r>
      <w:r w:rsidR="00C76942">
        <w:rPr>
          <w:rFonts w:ascii="Cambria" w:hAnsi="Cambria" w:cstheme="minorHAnsi"/>
          <w:sz w:val="24"/>
          <w:szCs w:val="24"/>
        </w:rPr>
        <w:t xml:space="preserve"> U odnosu na prošlo izvještajno razdoblje izvor financiranja 5 Pomoći povećan je </w:t>
      </w:r>
      <w:r w:rsidR="0019278B">
        <w:rPr>
          <w:rFonts w:ascii="Cambria" w:hAnsi="Cambria" w:cstheme="minorHAnsi"/>
          <w:sz w:val="24"/>
          <w:szCs w:val="24"/>
        </w:rPr>
        <w:t>4,93</w:t>
      </w:r>
      <w:r w:rsidR="00C76942">
        <w:rPr>
          <w:rFonts w:ascii="Cambria" w:hAnsi="Cambria" w:cstheme="minorHAnsi"/>
          <w:sz w:val="24"/>
          <w:szCs w:val="24"/>
        </w:rPr>
        <w:t xml:space="preserve"> %. Najvećim dijelom zbog plaća i  ostalih materijalnih prava zaposlenika.</w:t>
      </w:r>
      <w:r w:rsidR="002B6D33">
        <w:rPr>
          <w:rFonts w:ascii="Cambria" w:hAnsi="Cambria" w:cstheme="minorHAnsi"/>
          <w:sz w:val="24"/>
          <w:szCs w:val="24"/>
        </w:rPr>
        <w:t xml:space="preserve"> </w:t>
      </w:r>
      <w:r w:rsidR="0019278B" w:rsidRPr="0019278B">
        <w:rPr>
          <w:rFonts w:ascii="Cambria" w:hAnsi="Cambria" w:cstheme="minorHAnsi"/>
          <w:sz w:val="24"/>
          <w:szCs w:val="24"/>
        </w:rPr>
        <w:t xml:space="preserve">Najveće postotno povećanje bilježi se kod stavke 1.1. Opći prihodi i primici iz nadležnog proračuna. </w:t>
      </w:r>
      <w:r w:rsidR="0019278B">
        <w:rPr>
          <w:rFonts w:ascii="Cambria" w:hAnsi="Cambria" w:cstheme="minorHAnsi"/>
          <w:sz w:val="24"/>
          <w:szCs w:val="24"/>
        </w:rPr>
        <w:t>Na p</w:t>
      </w:r>
      <w:r w:rsidR="0019278B" w:rsidRPr="0019278B">
        <w:rPr>
          <w:rFonts w:ascii="Cambria" w:hAnsi="Cambria" w:cstheme="minorHAnsi"/>
          <w:sz w:val="24"/>
          <w:szCs w:val="24"/>
        </w:rPr>
        <w:t>oveć</w:t>
      </w:r>
      <w:r w:rsidR="0019278B">
        <w:rPr>
          <w:rFonts w:ascii="Cambria" w:hAnsi="Cambria" w:cstheme="minorHAnsi"/>
          <w:sz w:val="24"/>
          <w:szCs w:val="24"/>
        </w:rPr>
        <w:t xml:space="preserve">ane </w:t>
      </w:r>
      <w:r w:rsidR="0019278B" w:rsidRPr="0019278B">
        <w:rPr>
          <w:rFonts w:ascii="Cambria" w:hAnsi="Cambria" w:cstheme="minorHAnsi"/>
          <w:sz w:val="24"/>
          <w:szCs w:val="24"/>
        </w:rPr>
        <w:t>prihod</w:t>
      </w:r>
      <w:r w:rsidR="0019278B">
        <w:rPr>
          <w:rFonts w:ascii="Cambria" w:hAnsi="Cambria" w:cstheme="minorHAnsi"/>
          <w:sz w:val="24"/>
          <w:szCs w:val="24"/>
        </w:rPr>
        <w:t>e</w:t>
      </w:r>
      <w:r w:rsidR="0019278B" w:rsidRPr="0019278B">
        <w:rPr>
          <w:rFonts w:ascii="Cambria" w:hAnsi="Cambria" w:cstheme="minorHAnsi"/>
          <w:sz w:val="24"/>
          <w:szCs w:val="24"/>
        </w:rPr>
        <w:t xml:space="preserve"> </w:t>
      </w:r>
      <w:r w:rsidR="0019278B">
        <w:rPr>
          <w:rFonts w:ascii="Cambria" w:hAnsi="Cambria" w:cstheme="minorHAnsi"/>
          <w:sz w:val="24"/>
          <w:szCs w:val="24"/>
        </w:rPr>
        <w:t xml:space="preserve">utjecaj ima </w:t>
      </w:r>
      <w:r w:rsidR="006E4412">
        <w:rPr>
          <w:rFonts w:ascii="Cambria" w:hAnsi="Cambria" w:cstheme="minorHAnsi"/>
          <w:sz w:val="24"/>
          <w:szCs w:val="24"/>
        </w:rPr>
        <w:t xml:space="preserve">prihodi </w:t>
      </w:r>
      <w:r w:rsidR="0019278B" w:rsidRPr="0019278B">
        <w:rPr>
          <w:rFonts w:ascii="Cambria" w:hAnsi="Cambria" w:cstheme="minorHAnsi"/>
          <w:sz w:val="24"/>
          <w:szCs w:val="24"/>
        </w:rPr>
        <w:t>za izradu projektne dokumentacije za izgradnju dvorane u Lupoglavu i Božjakovini te za financiranje nabave klima-uređaja i plinskog plamenika u kotlovnici.</w:t>
      </w:r>
    </w:p>
    <w:p w14:paraId="03D491C5" w14:textId="57BCEC1F" w:rsidR="001E06A8" w:rsidRPr="00A802E9" w:rsidRDefault="00DC3584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noProof/>
          <w:sz w:val="24"/>
          <w:szCs w:val="24"/>
        </w:rPr>
        <w:lastRenderedPageBreak/>
        <w:drawing>
          <wp:inline distT="0" distB="0" distL="0" distR="0" wp14:anchorId="05BB4A3D" wp14:editId="74715710">
            <wp:extent cx="5806440" cy="3295650"/>
            <wp:effectExtent l="0" t="0" r="381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400517" w14:textId="127A7606" w:rsidR="00F71AB4" w:rsidRDefault="00DC3584" w:rsidP="008B0635">
      <w:pPr>
        <w:pStyle w:val="Bezproreda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A802E9">
        <w:rPr>
          <w:rFonts w:ascii="Cambria" w:hAnsi="Cambria" w:cstheme="minorHAnsi"/>
          <w:sz w:val="24"/>
          <w:szCs w:val="24"/>
        </w:rPr>
        <w:t xml:space="preserve">Grafikon </w:t>
      </w:r>
      <w:r w:rsidR="008744C0">
        <w:rPr>
          <w:rFonts w:ascii="Cambria" w:hAnsi="Cambria" w:cstheme="minorHAnsi"/>
          <w:sz w:val="24"/>
          <w:szCs w:val="24"/>
        </w:rPr>
        <w:t>5</w:t>
      </w:r>
      <w:r w:rsidRPr="00A802E9">
        <w:rPr>
          <w:rFonts w:ascii="Cambria" w:hAnsi="Cambria" w:cstheme="minorHAnsi"/>
          <w:sz w:val="24"/>
          <w:szCs w:val="24"/>
        </w:rPr>
        <w:t xml:space="preserve">. </w:t>
      </w:r>
      <w:r>
        <w:rPr>
          <w:rFonts w:ascii="Cambria" w:hAnsi="Cambria" w:cstheme="minorHAnsi"/>
          <w:sz w:val="24"/>
          <w:szCs w:val="24"/>
        </w:rPr>
        <w:t>Rashodi</w:t>
      </w:r>
      <w:r w:rsidRPr="00A802E9">
        <w:rPr>
          <w:rFonts w:ascii="Cambria" w:hAnsi="Cambria" w:cstheme="minorHAnsi"/>
          <w:sz w:val="24"/>
          <w:szCs w:val="24"/>
        </w:rPr>
        <w:t xml:space="preserve"> prema izvoru financiranja</w:t>
      </w:r>
    </w:p>
    <w:p w14:paraId="7F015054" w14:textId="77777777" w:rsidR="00264F2E" w:rsidRPr="00A802E9" w:rsidRDefault="00264F2E" w:rsidP="008B0635">
      <w:pPr>
        <w:pStyle w:val="Bezproreda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A102C54" w14:textId="09A4F6D4" w:rsidR="00F71AB4" w:rsidRDefault="00F71AB4" w:rsidP="008B0635">
      <w:pPr>
        <w:pStyle w:val="Bezproreda"/>
        <w:spacing w:line="276" w:lineRule="auto"/>
        <w:rPr>
          <w:rFonts w:ascii="Cambria" w:hAnsi="Cambria" w:cstheme="minorHAnsi"/>
          <w:sz w:val="24"/>
          <w:szCs w:val="24"/>
        </w:rPr>
      </w:pPr>
      <w:r w:rsidRPr="00A802E9">
        <w:rPr>
          <w:rFonts w:ascii="Cambria" w:hAnsi="Cambria" w:cstheme="minorHAnsi"/>
          <w:sz w:val="24"/>
          <w:szCs w:val="24"/>
        </w:rPr>
        <w:t xml:space="preserve">U Grafikonu </w:t>
      </w:r>
      <w:r w:rsidR="008744C0">
        <w:rPr>
          <w:rFonts w:ascii="Cambria" w:hAnsi="Cambria" w:cstheme="minorHAnsi"/>
          <w:sz w:val="24"/>
          <w:szCs w:val="24"/>
        </w:rPr>
        <w:t>5</w:t>
      </w:r>
      <w:r w:rsidRPr="00A802E9">
        <w:rPr>
          <w:rFonts w:ascii="Cambria" w:hAnsi="Cambria" w:cstheme="minorHAnsi"/>
          <w:sz w:val="24"/>
          <w:szCs w:val="24"/>
        </w:rPr>
        <w:t xml:space="preserve">. su prikazani rashodi ukupno po izvorima, iz kojih je vidljivo da je najviše utrošeno sredstava iz </w:t>
      </w:r>
      <w:r w:rsidR="002D45FC">
        <w:rPr>
          <w:rFonts w:ascii="Cambria" w:hAnsi="Cambria" w:cstheme="minorHAnsi"/>
          <w:sz w:val="24"/>
          <w:szCs w:val="24"/>
        </w:rPr>
        <w:t>i</w:t>
      </w:r>
      <w:r w:rsidRPr="00A802E9">
        <w:rPr>
          <w:rFonts w:ascii="Cambria" w:hAnsi="Cambria" w:cstheme="minorHAnsi"/>
          <w:sz w:val="24"/>
          <w:szCs w:val="24"/>
        </w:rPr>
        <w:t>zvora 5. Pomoći koje uključuju tekuće pomoći školstvu, prijenos iz Ministarstva znanosti</w:t>
      </w:r>
      <w:r w:rsidR="007958FC">
        <w:rPr>
          <w:rFonts w:ascii="Cambria" w:hAnsi="Cambria" w:cstheme="minorHAnsi"/>
          <w:sz w:val="24"/>
          <w:szCs w:val="24"/>
        </w:rPr>
        <w:t xml:space="preserve">, </w:t>
      </w:r>
      <w:r w:rsidRPr="00A802E9">
        <w:rPr>
          <w:rFonts w:ascii="Cambria" w:hAnsi="Cambria" w:cstheme="minorHAnsi"/>
          <w:sz w:val="24"/>
          <w:szCs w:val="24"/>
        </w:rPr>
        <w:t>obrazovanja</w:t>
      </w:r>
      <w:r w:rsidR="007958FC">
        <w:rPr>
          <w:rFonts w:ascii="Cambria" w:hAnsi="Cambria" w:cstheme="minorHAnsi"/>
          <w:sz w:val="24"/>
          <w:szCs w:val="24"/>
        </w:rPr>
        <w:t xml:space="preserve"> i mladih</w:t>
      </w:r>
      <w:r w:rsidR="00DC3584">
        <w:rPr>
          <w:rFonts w:ascii="Cambria" w:hAnsi="Cambria" w:cstheme="minorHAnsi"/>
          <w:sz w:val="24"/>
          <w:szCs w:val="24"/>
        </w:rPr>
        <w:t xml:space="preserve"> te  općinskog i gradskog proračuna.</w:t>
      </w:r>
      <w:r w:rsidR="00D113BB">
        <w:rPr>
          <w:rFonts w:ascii="Cambria" w:hAnsi="Cambria" w:cstheme="minorHAnsi"/>
          <w:sz w:val="24"/>
          <w:szCs w:val="24"/>
        </w:rPr>
        <w:t xml:space="preserve"> Povećanje u odnosu na prošlo izvještajno razdoblje je </w:t>
      </w:r>
      <w:r w:rsidR="00CB1C2F">
        <w:rPr>
          <w:rFonts w:ascii="Cambria" w:hAnsi="Cambria" w:cstheme="minorHAnsi"/>
          <w:sz w:val="24"/>
          <w:szCs w:val="24"/>
        </w:rPr>
        <w:t>12,09</w:t>
      </w:r>
      <w:r w:rsidR="00D113BB">
        <w:rPr>
          <w:rFonts w:ascii="Cambria" w:hAnsi="Cambria" w:cstheme="minorHAnsi"/>
          <w:sz w:val="24"/>
          <w:szCs w:val="24"/>
        </w:rPr>
        <w:t xml:space="preserve">%, a u odnosu na rebalans </w:t>
      </w:r>
      <w:r w:rsidR="00CB1C2F">
        <w:rPr>
          <w:rFonts w:ascii="Cambria" w:hAnsi="Cambria" w:cstheme="minorHAnsi"/>
          <w:sz w:val="24"/>
          <w:szCs w:val="24"/>
        </w:rPr>
        <w:t>ostvareno je 96,19</w:t>
      </w:r>
      <w:r w:rsidR="00D113BB">
        <w:rPr>
          <w:rFonts w:ascii="Cambria" w:hAnsi="Cambria" w:cstheme="minorHAnsi"/>
          <w:sz w:val="24"/>
          <w:szCs w:val="24"/>
        </w:rPr>
        <w:t>%.</w:t>
      </w:r>
    </w:p>
    <w:p w14:paraId="189DD7C5" w14:textId="08CFA3DD" w:rsidR="00CB1C2F" w:rsidRDefault="00CB1C2F" w:rsidP="008B0635">
      <w:pPr>
        <w:pStyle w:val="Bezproreda"/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Najveće postotno povećanje rashoda od 53,57 % je iz izvora 1.1 Opći prihodi i primici koji se financiraju iz nadležnog proračuna.</w:t>
      </w:r>
    </w:p>
    <w:p w14:paraId="657250E7" w14:textId="6D969BE9" w:rsidR="00DC3584" w:rsidRDefault="00DC3584" w:rsidP="008B0635">
      <w:pPr>
        <w:pStyle w:val="Bezproreda"/>
        <w:spacing w:line="276" w:lineRule="auto"/>
        <w:rPr>
          <w:rFonts w:ascii="Cambria" w:hAnsi="Cambria" w:cstheme="minorHAnsi"/>
          <w:sz w:val="24"/>
          <w:szCs w:val="24"/>
        </w:rPr>
      </w:pPr>
    </w:p>
    <w:p w14:paraId="45E82C5C" w14:textId="77777777" w:rsidR="00DC3584" w:rsidRPr="00A802E9" w:rsidRDefault="00DC3584" w:rsidP="008B0635">
      <w:pPr>
        <w:pStyle w:val="Bezproreda"/>
        <w:spacing w:line="276" w:lineRule="auto"/>
        <w:rPr>
          <w:rFonts w:ascii="Cambria" w:hAnsi="Cambria" w:cstheme="minorHAnsi"/>
          <w:sz w:val="24"/>
          <w:szCs w:val="24"/>
        </w:rPr>
      </w:pPr>
    </w:p>
    <w:p w14:paraId="59817EC9" w14:textId="77777777" w:rsidR="00F71AB4" w:rsidRPr="00A802E9" w:rsidRDefault="00F71AB4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57E9D0FD" w14:textId="40DAF0B5" w:rsidR="00F71AB4" w:rsidRDefault="006B12B3" w:rsidP="008B0635">
      <w:pPr>
        <w:spacing w:line="276" w:lineRule="auto"/>
        <w:jc w:val="center"/>
        <w:rPr>
          <w:rStyle w:val="pt-zadanifontodlomka-000006"/>
          <w:rFonts w:ascii="Cambria" w:hAnsi="Cambria"/>
          <w:i/>
          <w:sz w:val="24"/>
          <w:szCs w:val="24"/>
        </w:rPr>
      </w:pPr>
      <w:r w:rsidRPr="006B12B3">
        <w:rPr>
          <w:rStyle w:val="pt-zadanifontodlomka-000006"/>
          <w:rFonts w:ascii="Cambria" w:hAnsi="Cambria"/>
          <w:i/>
          <w:sz w:val="24"/>
          <w:szCs w:val="24"/>
        </w:rPr>
        <w:t>Izvještaj o rashodima prema funkcijskoj klasifikaciji</w:t>
      </w:r>
    </w:p>
    <w:p w14:paraId="2A511BF5" w14:textId="04AA556F" w:rsidR="005E0503" w:rsidRDefault="005E0503" w:rsidP="008B0635">
      <w:pPr>
        <w:spacing w:line="276" w:lineRule="auto"/>
        <w:jc w:val="center"/>
        <w:rPr>
          <w:rStyle w:val="pt-zadanifontodlomka-000006"/>
          <w:rFonts w:ascii="Cambria" w:hAnsi="Cambria"/>
          <w:i/>
          <w:sz w:val="24"/>
          <w:szCs w:val="24"/>
        </w:rPr>
      </w:pPr>
    </w:p>
    <w:p w14:paraId="159C251F" w14:textId="77777777" w:rsidR="005E0503" w:rsidRDefault="005E0503" w:rsidP="008B0635">
      <w:pPr>
        <w:spacing w:line="276" w:lineRule="auto"/>
        <w:jc w:val="center"/>
        <w:rPr>
          <w:rStyle w:val="pt-zadanifontodlomka-000006"/>
          <w:rFonts w:ascii="Cambria" w:hAnsi="Cambria"/>
          <w:i/>
          <w:sz w:val="24"/>
          <w:szCs w:val="24"/>
        </w:rPr>
      </w:pPr>
    </w:p>
    <w:p w14:paraId="49DAB56B" w14:textId="75EDCF37" w:rsidR="006E16FC" w:rsidRDefault="005E0503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Rashodi prema funkcijskoj klasifikaciji </w:t>
      </w:r>
      <w:r w:rsidR="00BB1AB3">
        <w:rPr>
          <w:rFonts w:ascii="Cambria" w:hAnsi="Cambria" w:cstheme="minorHAnsi"/>
          <w:sz w:val="24"/>
          <w:szCs w:val="24"/>
        </w:rPr>
        <w:t xml:space="preserve">čine 09 Obrazovanje. Povećani su u odnosu na prošlu godinu za </w:t>
      </w:r>
      <w:r w:rsidR="00795D01">
        <w:rPr>
          <w:rFonts w:ascii="Cambria" w:hAnsi="Cambria" w:cstheme="minorHAnsi"/>
          <w:sz w:val="24"/>
          <w:szCs w:val="24"/>
        </w:rPr>
        <w:t>13,13</w:t>
      </w:r>
      <w:r w:rsidR="006413CC">
        <w:rPr>
          <w:rFonts w:ascii="Cambria" w:hAnsi="Cambria" w:cstheme="minorHAnsi"/>
          <w:sz w:val="24"/>
          <w:szCs w:val="24"/>
        </w:rPr>
        <w:t xml:space="preserve"> </w:t>
      </w:r>
      <w:r w:rsidR="00BB1AB3">
        <w:rPr>
          <w:rFonts w:ascii="Cambria" w:hAnsi="Cambria" w:cstheme="minorHAnsi"/>
          <w:sz w:val="24"/>
          <w:szCs w:val="24"/>
        </w:rPr>
        <w:t>%. te je ostvareno</w:t>
      </w:r>
      <w:r w:rsidR="00276ED0">
        <w:rPr>
          <w:rFonts w:ascii="Cambria" w:hAnsi="Cambria" w:cstheme="minorHAnsi"/>
          <w:sz w:val="24"/>
          <w:szCs w:val="24"/>
        </w:rPr>
        <w:t xml:space="preserve"> </w:t>
      </w:r>
      <w:r w:rsidR="00795D01">
        <w:rPr>
          <w:rFonts w:ascii="Cambria" w:hAnsi="Cambria" w:cstheme="minorHAnsi"/>
          <w:sz w:val="24"/>
          <w:szCs w:val="24"/>
        </w:rPr>
        <w:t>95,42%</w:t>
      </w:r>
      <w:r w:rsidR="00276ED0">
        <w:rPr>
          <w:rFonts w:ascii="Cambria" w:hAnsi="Cambria" w:cstheme="minorHAnsi"/>
          <w:sz w:val="24"/>
          <w:szCs w:val="24"/>
        </w:rPr>
        <w:t xml:space="preserve"> </w:t>
      </w:r>
      <w:r w:rsidR="00BB1AB3">
        <w:rPr>
          <w:rFonts w:ascii="Cambria" w:hAnsi="Cambria" w:cstheme="minorHAnsi"/>
          <w:sz w:val="24"/>
          <w:szCs w:val="24"/>
        </w:rPr>
        <w:t xml:space="preserve"> u odnosu na </w:t>
      </w:r>
      <w:r w:rsidR="00276ED0">
        <w:rPr>
          <w:rFonts w:ascii="Cambria" w:hAnsi="Cambria" w:cstheme="minorHAnsi"/>
          <w:sz w:val="24"/>
          <w:szCs w:val="24"/>
        </w:rPr>
        <w:t>Rebalans</w:t>
      </w:r>
      <w:r w:rsidR="00BB1AB3">
        <w:rPr>
          <w:rFonts w:ascii="Cambria" w:hAnsi="Cambria" w:cstheme="minorHAnsi"/>
          <w:sz w:val="24"/>
          <w:szCs w:val="24"/>
        </w:rPr>
        <w:t xml:space="preserve"> </w:t>
      </w:r>
      <w:r w:rsidR="00910437">
        <w:rPr>
          <w:rFonts w:ascii="Cambria" w:hAnsi="Cambria" w:cstheme="minorHAnsi"/>
          <w:sz w:val="24"/>
          <w:szCs w:val="24"/>
        </w:rPr>
        <w:t>za 202</w:t>
      </w:r>
      <w:r w:rsidR="00795D01">
        <w:rPr>
          <w:rFonts w:ascii="Cambria" w:hAnsi="Cambria" w:cstheme="minorHAnsi"/>
          <w:sz w:val="24"/>
          <w:szCs w:val="24"/>
        </w:rPr>
        <w:t>5</w:t>
      </w:r>
      <w:r w:rsidR="00910437">
        <w:rPr>
          <w:rFonts w:ascii="Cambria" w:hAnsi="Cambria" w:cstheme="minorHAnsi"/>
          <w:sz w:val="24"/>
          <w:szCs w:val="24"/>
        </w:rPr>
        <w:t>. godinu.</w:t>
      </w:r>
    </w:p>
    <w:p w14:paraId="235D0DE5" w14:textId="77777777" w:rsidR="00180FB1" w:rsidRDefault="00180FB1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5110D559" w14:textId="77777777" w:rsidR="00FD1AA6" w:rsidRDefault="00FD1AA6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1C999795" w14:textId="77777777" w:rsidR="00264F2E" w:rsidRDefault="00264F2E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697A0157" w14:textId="1323E16B" w:rsidR="00180FB1" w:rsidRDefault="00180FB1" w:rsidP="008B0635">
      <w:pPr>
        <w:spacing w:line="276" w:lineRule="auto"/>
        <w:jc w:val="center"/>
        <w:rPr>
          <w:rStyle w:val="pt-zadanifontodlomka-000006"/>
          <w:rFonts w:ascii="Cambria" w:hAnsi="Cambria"/>
          <w:i/>
          <w:sz w:val="24"/>
          <w:szCs w:val="24"/>
        </w:rPr>
      </w:pPr>
      <w:r w:rsidRPr="006B12B3">
        <w:rPr>
          <w:rStyle w:val="pt-zadanifontodlomka-000006"/>
          <w:rFonts w:ascii="Cambria" w:hAnsi="Cambria"/>
          <w:i/>
          <w:sz w:val="24"/>
          <w:szCs w:val="24"/>
        </w:rPr>
        <w:t xml:space="preserve">Izvještaj </w:t>
      </w:r>
      <w:r>
        <w:rPr>
          <w:rStyle w:val="pt-zadanifontodlomka-000006"/>
          <w:rFonts w:ascii="Cambria" w:hAnsi="Cambria"/>
          <w:i/>
          <w:sz w:val="24"/>
          <w:szCs w:val="24"/>
        </w:rPr>
        <w:t>računa financiranja prema ekonomskoj klasifikaciji i prema izvorima financiranja</w:t>
      </w:r>
    </w:p>
    <w:p w14:paraId="08925DBF" w14:textId="77777777" w:rsidR="00180FB1" w:rsidRDefault="00180FB1" w:rsidP="008B0635">
      <w:pPr>
        <w:spacing w:line="276" w:lineRule="auto"/>
        <w:jc w:val="center"/>
        <w:rPr>
          <w:rStyle w:val="pt-zadanifontodlomka-000006"/>
          <w:rFonts w:ascii="Cambria" w:hAnsi="Cambria"/>
          <w:i/>
          <w:sz w:val="24"/>
          <w:szCs w:val="24"/>
        </w:rPr>
      </w:pPr>
    </w:p>
    <w:p w14:paraId="1FBA57F3" w14:textId="6D0AEEFB" w:rsidR="00180FB1" w:rsidRDefault="00180FB1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Osnovna škola „Stjepan Radić“ u izvještajnom razdoblju nije ostvarila primitke od financijske imovine i zaduživanja niti izdatke za financijsku imovinu i otplate zajmova.</w:t>
      </w:r>
    </w:p>
    <w:p w14:paraId="7AC2FBFA" w14:textId="77777777" w:rsidR="005E0503" w:rsidRDefault="005E0503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09A4073F" w14:textId="77777777" w:rsidR="001C3D84" w:rsidRDefault="001C3D84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63690DCA" w14:textId="561BF7D2" w:rsidR="00536414" w:rsidRDefault="00536414" w:rsidP="008B0635">
      <w:pPr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lastRenderedPageBreak/>
        <w:t>OBRAZLOŽENJE POSEBNOG</w:t>
      </w:r>
      <w:r w:rsidRPr="00F71AB4">
        <w:rPr>
          <w:rFonts w:ascii="Cambria" w:hAnsi="Cambria" w:cstheme="minorHAnsi"/>
          <w:sz w:val="24"/>
          <w:szCs w:val="24"/>
        </w:rPr>
        <w:t xml:space="preserve"> DI</w:t>
      </w:r>
      <w:r>
        <w:rPr>
          <w:rFonts w:ascii="Cambria" w:hAnsi="Cambria" w:cstheme="minorHAnsi"/>
          <w:sz w:val="24"/>
          <w:szCs w:val="24"/>
        </w:rPr>
        <w:t>JELA IZVJEŠTAJA O IZVR</w:t>
      </w:r>
      <w:r w:rsidR="00B711F0">
        <w:rPr>
          <w:rFonts w:ascii="Cambria" w:hAnsi="Cambria" w:cstheme="minorHAnsi"/>
          <w:sz w:val="24"/>
          <w:szCs w:val="24"/>
        </w:rPr>
        <w:t>ŠE</w:t>
      </w:r>
      <w:r>
        <w:rPr>
          <w:rFonts w:ascii="Cambria" w:hAnsi="Cambria" w:cstheme="minorHAnsi"/>
          <w:sz w:val="24"/>
          <w:szCs w:val="24"/>
        </w:rPr>
        <w:t>NJU FINANCIJSKOG PLANA</w:t>
      </w:r>
    </w:p>
    <w:p w14:paraId="1E6CC03A" w14:textId="2D3FEAA2" w:rsidR="001C3D84" w:rsidRDefault="001C3D84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08190E2A" w14:textId="77777777" w:rsidR="002607A8" w:rsidRDefault="002607A8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1048ADD7" w14:textId="4DF792C4" w:rsidR="001C3D84" w:rsidRDefault="00536414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Posebni dio</w:t>
      </w:r>
      <w:r w:rsidR="001727AF">
        <w:rPr>
          <w:rFonts w:ascii="Cambria" w:hAnsi="Cambria" w:cstheme="minorHAnsi"/>
          <w:sz w:val="24"/>
          <w:szCs w:val="24"/>
        </w:rPr>
        <w:t xml:space="preserve"> Izvještaja o izvršenju</w:t>
      </w:r>
      <w:r>
        <w:rPr>
          <w:rFonts w:ascii="Cambria" w:hAnsi="Cambria" w:cstheme="minorHAnsi"/>
          <w:sz w:val="24"/>
          <w:szCs w:val="24"/>
        </w:rPr>
        <w:t xml:space="preserve"> financijskog plana sadrži podatke o izvršenju rashoda  i izdataka</w:t>
      </w:r>
      <w:r w:rsidR="00A2320F">
        <w:rPr>
          <w:rFonts w:ascii="Cambria" w:hAnsi="Cambria" w:cstheme="minorHAnsi"/>
          <w:sz w:val="24"/>
          <w:szCs w:val="24"/>
        </w:rPr>
        <w:t xml:space="preserve"> po </w:t>
      </w:r>
      <w:r w:rsidR="001727AF">
        <w:rPr>
          <w:rFonts w:ascii="Cambria" w:hAnsi="Cambria" w:cstheme="minorHAnsi"/>
          <w:sz w:val="24"/>
          <w:szCs w:val="24"/>
        </w:rPr>
        <w:t xml:space="preserve">ekonomskoj, </w:t>
      </w:r>
      <w:r w:rsidR="00A2320F">
        <w:rPr>
          <w:rFonts w:ascii="Cambria" w:hAnsi="Cambria" w:cstheme="minorHAnsi"/>
          <w:sz w:val="24"/>
          <w:szCs w:val="24"/>
        </w:rPr>
        <w:t>organizacijskoj i programskoj klasifikaciji</w:t>
      </w:r>
      <w:r w:rsidR="001727AF">
        <w:rPr>
          <w:rFonts w:ascii="Cambria" w:hAnsi="Cambria" w:cstheme="minorHAnsi"/>
          <w:sz w:val="24"/>
          <w:szCs w:val="24"/>
        </w:rPr>
        <w:t xml:space="preserve"> te izvorima financiranja</w:t>
      </w:r>
      <w:r w:rsidR="00A2320F">
        <w:rPr>
          <w:rFonts w:ascii="Cambria" w:hAnsi="Cambria" w:cstheme="minorHAnsi"/>
          <w:sz w:val="24"/>
          <w:szCs w:val="24"/>
        </w:rPr>
        <w:t>. U posebnom dijelu, za razliku od općeg dijela proračuna, ne prikazuju  se usporedni podaci izvještajnog razdoblja prethodne godine.</w:t>
      </w:r>
    </w:p>
    <w:p w14:paraId="3A882D64" w14:textId="15421F5C" w:rsidR="00A2320F" w:rsidRDefault="00A2320F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24B9D195" w14:textId="237FA049" w:rsidR="00A2320F" w:rsidRDefault="00A2320F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3BE7E3C4" w14:textId="344B360E" w:rsidR="00AF493A" w:rsidRPr="00170A29" w:rsidRDefault="00170A29" w:rsidP="008B0635">
      <w:pPr>
        <w:spacing w:line="276" w:lineRule="auto"/>
        <w:jc w:val="center"/>
        <w:rPr>
          <w:rFonts w:ascii="Cambria" w:hAnsi="Cambria" w:cstheme="minorHAnsi"/>
          <w:i/>
          <w:iCs/>
          <w:sz w:val="24"/>
          <w:szCs w:val="24"/>
        </w:rPr>
      </w:pPr>
      <w:r w:rsidRPr="00170A29">
        <w:rPr>
          <w:rFonts w:ascii="Cambria" w:hAnsi="Cambria" w:cstheme="minorHAnsi"/>
          <w:i/>
          <w:iCs/>
          <w:sz w:val="24"/>
          <w:szCs w:val="24"/>
        </w:rPr>
        <w:t>Glavni program P52 Projekti i programi EU, P51  Kapitalno ulaganje, P15  Minimalni standard u osnovnom školstvu i P17 Potrebe iznad minimalnog standarda</w:t>
      </w:r>
    </w:p>
    <w:p w14:paraId="1B509089" w14:textId="77777777" w:rsidR="00170A29" w:rsidRPr="00170A29" w:rsidRDefault="00170A29" w:rsidP="008B0635">
      <w:pPr>
        <w:spacing w:line="276" w:lineRule="auto"/>
        <w:rPr>
          <w:rFonts w:ascii="Cambria" w:hAnsi="Cambria" w:cstheme="minorHAnsi"/>
          <w:i/>
          <w:iCs/>
          <w:sz w:val="24"/>
          <w:szCs w:val="24"/>
        </w:rPr>
      </w:pPr>
    </w:p>
    <w:p w14:paraId="06C4E2A0" w14:textId="1AE81B00" w:rsidR="00170A29" w:rsidRDefault="00170A29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Glavni programi P52, P51, P15 i P17 sadrže tekuće i kapitalne projekte i aktivnosti koji se financiraju iz županijskog proračuna te su realizirani u cijelosti</w:t>
      </w:r>
      <w:r w:rsidR="000162E7">
        <w:rPr>
          <w:rFonts w:ascii="Cambria" w:hAnsi="Cambria" w:cstheme="minorHAnsi"/>
          <w:sz w:val="24"/>
          <w:szCs w:val="24"/>
        </w:rPr>
        <w:t xml:space="preserve"> prema odobrenjima iz nadležnog proračuna.</w:t>
      </w:r>
    </w:p>
    <w:p w14:paraId="57FED699" w14:textId="77777777" w:rsidR="00AF493A" w:rsidRDefault="00AF493A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2AA09E95" w14:textId="77777777" w:rsidR="00AF493A" w:rsidRDefault="00AF493A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1BA082D7" w14:textId="7BEDA922" w:rsidR="00AF493A" w:rsidRDefault="00BD6352" w:rsidP="008B0635">
      <w:pPr>
        <w:spacing w:line="276" w:lineRule="auto"/>
        <w:jc w:val="center"/>
        <w:rPr>
          <w:rFonts w:ascii="Cambria" w:hAnsi="Cambria" w:cstheme="minorHAnsi"/>
          <w:i/>
          <w:iCs/>
          <w:sz w:val="24"/>
          <w:szCs w:val="24"/>
        </w:rPr>
      </w:pPr>
      <w:r w:rsidRPr="00BD6352">
        <w:rPr>
          <w:rFonts w:ascii="Cambria" w:hAnsi="Cambria" w:cstheme="minorHAnsi"/>
          <w:i/>
          <w:iCs/>
          <w:sz w:val="24"/>
          <w:szCs w:val="24"/>
        </w:rPr>
        <w:t>Glavni program P63 – Programi osnovnih škola izvan županijskog proračun</w:t>
      </w:r>
    </w:p>
    <w:p w14:paraId="788FBA54" w14:textId="77777777" w:rsidR="00BD6352" w:rsidRDefault="00BD6352" w:rsidP="008B0635">
      <w:pPr>
        <w:spacing w:line="276" w:lineRule="auto"/>
        <w:jc w:val="center"/>
        <w:rPr>
          <w:rFonts w:ascii="Cambria" w:hAnsi="Cambria" w:cstheme="minorHAnsi"/>
          <w:i/>
          <w:iCs/>
          <w:sz w:val="24"/>
          <w:szCs w:val="24"/>
        </w:rPr>
      </w:pPr>
    </w:p>
    <w:p w14:paraId="4C2D7DCB" w14:textId="76018B2C" w:rsidR="00BD6352" w:rsidRDefault="00BD6352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Glavni program P63 sadrži tekuće i kapitalne projekte i aktivnosti koji se financiraju sredstvima izvan županijskog proračuna.</w:t>
      </w:r>
      <w:r w:rsidR="002607A8">
        <w:rPr>
          <w:rFonts w:ascii="Cambria" w:hAnsi="Cambria" w:cstheme="minorHAnsi"/>
          <w:sz w:val="24"/>
          <w:szCs w:val="24"/>
        </w:rPr>
        <w:t xml:space="preserve"> Program je izvršen u iznosu  </w:t>
      </w:r>
      <w:r w:rsidR="001D2D99">
        <w:rPr>
          <w:rFonts w:ascii="Cambria" w:hAnsi="Cambria" w:cstheme="minorHAnsi"/>
          <w:sz w:val="24"/>
          <w:szCs w:val="24"/>
        </w:rPr>
        <w:t>2.</w:t>
      </w:r>
      <w:r w:rsidR="0088578E">
        <w:rPr>
          <w:rFonts w:ascii="Cambria" w:hAnsi="Cambria" w:cstheme="minorHAnsi"/>
          <w:sz w:val="24"/>
          <w:szCs w:val="24"/>
        </w:rPr>
        <w:t>908.353,99</w:t>
      </w:r>
      <w:r w:rsidR="001D2D99">
        <w:rPr>
          <w:rFonts w:ascii="Cambria" w:hAnsi="Cambria" w:cstheme="minorHAnsi"/>
          <w:sz w:val="24"/>
          <w:szCs w:val="24"/>
        </w:rPr>
        <w:t xml:space="preserve"> € </w:t>
      </w:r>
      <w:r w:rsidR="002607A8">
        <w:rPr>
          <w:rFonts w:ascii="Cambria" w:hAnsi="Cambria" w:cstheme="minorHAnsi"/>
          <w:sz w:val="24"/>
          <w:szCs w:val="24"/>
        </w:rPr>
        <w:t xml:space="preserve">odnosno izvršenje plana je </w:t>
      </w:r>
      <w:r w:rsidR="0088578E">
        <w:rPr>
          <w:rFonts w:ascii="Cambria" w:hAnsi="Cambria" w:cstheme="minorHAnsi"/>
          <w:sz w:val="24"/>
          <w:szCs w:val="24"/>
        </w:rPr>
        <w:t>96,01</w:t>
      </w:r>
      <w:r w:rsidR="002607A8">
        <w:rPr>
          <w:rFonts w:ascii="Cambria" w:hAnsi="Cambria" w:cstheme="minorHAnsi"/>
          <w:sz w:val="24"/>
          <w:szCs w:val="24"/>
        </w:rPr>
        <w:t>%.</w:t>
      </w:r>
    </w:p>
    <w:p w14:paraId="028396C2" w14:textId="0D3B3E90" w:rsidR="002607A8" w:rsidRDefault="002607A8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34DBD9A0" w14:textId="465491B9" w:rsidR="002607A8" w:rsidRPr="004F64DB" w:rsidRDefault="002607A8" w:rsidP="008B0635">
      <w:pPr>
        <w:pStyle w:val="Odlomakpopisa"/>
        <w:numPr>
          <w:ilvl w:val="0"/>
          <w:numId w:val="3"/>
        </w:numPr>
        <w:spacing w:line="276" w:lineRule="auto"/>
        <w:rPr>
          <w:rFonts w:ascii="Cambria" w:hAnsi="Cambria" w:cstheme="minorHAnsi"/>
          <w:sz w:val="24"/>
          <w:szCs w:val="24"/>
        </w:rPr>
      </w:pPr>
      <w:r w:rsidRPr="004F64DB">
        <w:rPr>
          <w:rFonts w:ascii="Cambria" w:hAnsi="Cambria" w:cstheme="minorHAnsi"/>
          <w:sz w:val="24"/>
          <w:szCs w:val="24"/>
        </w:rPr>
        <w:t xml:space="preserve">Aktivnost A100001 Rashodi poslovanja </w:t>
      </w:r>
      <w:r w:rsidR="00411CCE" w:rsidRPr="004F64DB">
        <w:rPr>
          <w:rFonts w:ascii="Cambria" w:hAnsi="Cambria" w:cstheme="minorHAnsi"/>
          <w:sz w:val="24"/>
          <w:szCs w:val="24"/>
        </w:rPr>
        <w:t>izvršen</w:t>
      </w:r>
      <w:r w:rsidRPr="004F64DB">
        <w:rPr>
          <w:rFonts w:ascii="Cambria" w:hAnsi="Cambria" w:cstheme="minorHAnsi"/>
          <w:sz w:val="24"/>
          <w:szCs w:val="24"/>
        </w:rPr>
        <w:t xml:space="preserve"> je u iznosu </w:t>
      </w:r>
      <w:r w:rsidR="0088578E" w:rsidRPr="004F64DB">
        <w:rPr>
          <w:rFonts w:ascii="Cambria" w:hAnsi="Cambria" w:cstheme="minorHAnsi"/>
          <w:sz w:val="24"/>
          <w:szCs w:val="24"/>
        </w:rPr>
        <w:t>50.843,20</w:t>
      </w:r>
      <w:r w:rsidR="001D2D99" w:rsidRPr="004F64DB">
        <w:rPr>
          <w:rFonts w:ascii="Cambria" w:hAnsi="Cambria" w:cstheme="minorHAnsi"/>
          <w:sz w:val="24"/>
          <w:szCs w:val="24"/>
        </w:rPr>
        <w:t xml:space="preserve"> </w:t>
      </w:r>
      <w:bookmarkStart w:id="2" w:name="_Hlk161175386"/>
      <w:r w:rsidR="001D2D99" w:rsidRPr="004F64DB">
        <w:rPr>
          <w:rFonts w:ascii="Cambria" w:hAnsi="Cambria" w:cstheme="minorHAnsi"/>
          <w:sz w:val="24"/>
          <w:szCs w:val="24"/>
        </w:rPr>
        <w:t>€</w:t>
      </w:r>
      <w:bookmarkEnd w:id="2"/>
      <w:r w:rsidRPr="004F64DB">
        <w:rPr>
          <w:rFonts w:ascii="Cambria" w:hAnsi="Cambria" w:cstheme="minorHAnsi"/>
          <w:sz w:val="24"/>
          <w:szCs w:val="24"/>
        </w:rPr>
        <w:t>. Izvršenje u odnosu na plan</w:t>
      </w:r>
      <w:r w:rsidR="00F354E4" w:rsidRPr="004F64DB">
        <w:rPr>
          <w:rFonts w:ascii="Cambria" w:hAnsi="Cambria" w:cstheme="minorHAnsi"/>
          <w:sz w:val="24"/>
          <w:szCs w:val="24"/>
        </w:rPr>
        <w:t>irano</w:t>
      </w:r>
      <w:r w:rsidRPr="004F64DB">
        <w:rPr>
          <w:rFonts w:ascii="Cambria" w:hAnsi="Cambria" w:cstheme="minorHAnsi"/>
          <w:sz w:val="24"/>
          <w:szCs w:val="24"/>
        </w:rPr>
        <w:t xml:space="preserve"> je</w:t>
      </w:r>
      <w:r w:rsidR="0088578E" w:rsidRPr="004F64DB">
        <w:rPr>
          <w:rFonts w:ascii="Cambria" w:hAnsi="Cambria" w:cstheme="minorHAnsi"/>
          <w:sz w:val="24"/>
          <w:szCs w:val="24"/>
        </w:rPr>
        <w:t xml:space="preserve"> manje </w:t>
      </w:r>
      <w:r w:rsidR="000651CB" w:rsidRPr="004F64DB">
        <w:rPr>
          <w:rFonts w:ascii="Cambria" w:hAnsi="Cambria" w:cstheme="minorHAnsi"/>
          <w:sz w:val="24"/>
          <w:szCs w:val="24"/>
        </w:rPr>
        <w:t xml:space="preserve">za </w:t>
      </w:r>
      <w:r w:rsidR="0088578E" w:rsidRPr="004F64DB">
        <w:rPr>
          <w:rFonts w:ascii="Cambria" w:hAnsi="Cambria" w:cstheme="minorHAnsi"/>
          <w:sz w:val="24"/>
          <w:szCs w:val="24"/>
        </w:rPr>
        <w:t>11,7</w:t>
      </w:r>
      <w:r w:rsidR="000651CB" w:rsidRPr="004F64DB">
        <w:rPr>
          <w:rFonts w:ascii="Cambria" w:hAnsi="Cambria" w:cstheme="minorHAnsi"/>
          <w:sz w:val="24"/>
          <w:szCs w:val="24"/>
        </w:rPr>
        <w:t xml:space="preserve"> </w:t>
      </w:r>
      <w:r w:rsidRPr="004F64DB">
        <w:rPr>
          <w:rFonts w:ascii="Cambria" w:hAnsi="Cambria" w:cstheme="minorHAnsi"/>
          <w:sz w:val="24"/>
          <w:szCs w:val="24"/>
        </w:rPr>
        <w:t>%.</w:t>
      </w:r>
    </w:p>
    <w:p w14:paraId="331B7D9A" w14:textId="77777777" w:rsidR="004F64DB" w:rsidRPr="004F64DB" w:rsidRDefault="004F64DB" w:rsidP="008B0635">
      <w:pPr>
        <w:pStyle w:val="Odlomakpopisa"/>
        <w:spacing w:line="276" w:lineRule="auto"/>
        <w:rPr>
          <w:rFonts w:ascii="Cambria" w:hAnsi="Cambria" w:cs="Arial"/>
          <w:bCs/>
          <w:color w:val="000000"/>
          <w:sz w:val="24"/>
          <w:szCs w:val="24"/>
        </w:rPr>
      </w:pPr>
      <w:r w:rsidRPr="004F64DB">
        <w:rPr>
          <w:rFonts w:ascii="Cambria" w:hAnsi="Cambria" w:cs="Arial"/>
          <w:bCs/>
          <w:color w:val="000000"/>
          <w:sz w:val="24"/>
          <w:szCs w:val="24"/>
        </w:rPr>
        <w:t>Izvor financiranja: vlastiti prihodi, prihodi za posebne namjene, pomoći i donacije.</w:t>
      </w:r>
    </w:p>
    <w:p w14:paraId="40AE46D3" w14:textId="77777777" w:rsidR="004F64DB" w:rsidRPr="004F64DB" w:rsidRDefault="004F64DB" w:rsidP="008B0635">
      <w:pPr>
        <w:pStyle w:val="Odlomakpopisa"/>
        <w:spacing w:line="276" w:lineRule="auto"/>
        <w:jc w:val="both"/>
        <w:rPr>
          <w:rFonts w:ascii="Cambria" w:hAnsi="Cambria"/>
          <w:sz w:val="24"/>
          <w:szCs w:val="24"/>
        </w:rPr>
      </w:pPr>
      <w:r w:rsidRPr="004F64DB">
        <w:rPr>
          <w:rFonts w:ascii="Cambria" w:hAnsi="Cambria"/>
          <w:sz w:val="24"/>
          <w:szCs w:val="24"/>
        </w:rPr>
        <w:t>Pokazatelji učinka su uspješno provedeni predviđeni nastavni programi. Iznimni uspjesi naših učenika na  lokalnim, županijskim i  državnim razinama iz svih predmeta. Osigurani materijalni uvjeti za poslovanje škole.</w:t>
      </w:r>
      <w:r w:rsidRPr="004F64DB">
        <w:rPr>
          <w:sz w:val="24"/>
          <w:szCs w:val="24"/>
        </w:rPr>
        <w:t xml:space="preserve"> </w:t>
      </w:r>
    </w:p>
    <w:p w14:paraId="78DFEA3C" w14:textId="77777777" w:rsidR="004F64DB" w:rsidRPr="004F64DB" w:rsidRDefault="004F64DB" w:rsidP="008B0635">
      <w:pPr>
        <w:pStyle w:val="Odlomakpopisa"/>
        <w:spacing w:line="276" w:lineRule="auto"/>
        <w:rPr>
          <w:rFonts w:ascii="Cambria" w:hAnsi="Cambria" w:cs="Arial"/>
          <w:bCs/>
          <w:color w:val="000000"/>
          <w:sz w:val="24"/>
          <w:szCs w:val="24"/>
        </w:rPr>
      </w:pPr>
      <w:r w:rsidRPr="004F64DB">
        <w:rPr>
          <w:rFonts w:ascii="Cambria" w:hAnsi="Cambria"/>
          <w:sz w:val="24"/>
          <w:szCs w:val="24"/>
        </w:rPr>
        <w:t>Pokazatelji rezultata su osigurana sredstava za rashode u  osnovnom školstvu koja nisu osigurana minimalnim standardom. Financijski osigurano funkcioniranje  škole i školskih objekata.</w:t>
      </w:r>
    </w:p>
    <w:p w14:paraId="07BB2F8A" w14:textId="77777777" w:rsidR="004F64DB" w:rsidRPr="004F64DB" w:rsidRDefault="004F64DB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38974BB3" w14:textId="77777777" w:rsidR="0003481C" w:rsidRDefault="0003481C" w:rsidP="008B0635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</w:p>
    <w:p w14:paraId="2A6CB9FB" w14:textId="4FA81AF0" w:rsidR="00A178E4" w:rsidRPr="00135DF1" w:rsidRDefault="002607A8" w:rsidP="008B0635">
      <w:pPr>
        <w:pStyle w:val="Odlomakpopisa"/>
        <w:numPr>
          <w:ilvl w:val="0"/>
          <w:numId w:val="3"/>
        </w:numPr>
        <w:spacing w:line="276" w:lineRule="auto"/>
        <w:rPr>
          <w:rFonts w:ascii="Cambria" w:hAnsi="Cambria" w:cstheme="minorHAnsi"/>
          <w:sz w:val="24"/>
          <w:szCs w:val="24"/>
        </w:rPr>
      </w:pPr>
      <w:r w:rsidRPr="00135DF1">
        <w:rPr>
          <w:rFonts w:ascii="Cambria" w:hAnsi="Cambria" w:cstheme="minorHAnsi"/>
          <w:sz w:val="24"/>
          <w:szCs w:val="24"/>
        </w:rPr>
        <w:t xml:space="preserve">Aktivnost A100002 Administrativno, tehničko i  stručno osoblje </w:t>
      </w:r>
      <w:r w:rsidR="00411CCE" w:rsidRPr="00135DF1">
        <w:rPr>
          <w:rFonts w:ascii="Cambria" w:hAnsi="Cambria" w:cstheme="minorHAnsi"/>
          <w:sz w:val="24"/>
          <w:szCs w:val="24"/>
        </w:rPr>
        <w:t>izvršen</w:t>
      </w:r>
      <w:r w:rsidRPr="00135DF1">
        <w:rPr>
          <w:rFonts w:ascii="Cambria" w:hAnsi="Cambria" w:cstheme="minorHAnsi"/>
          <w:sz w:val="24"/>
          <w:szCs w:val="24"/>
        </w:rPr>
        <w:t xml:space="preserve"> je u iznosu od </w:t>
      </w:r>
      <w:r w:rsidR="000651CB" w:rsidRPr="00135DF1">
        <w:rPr>
          <w:rFonts w:ascii="Cambria" w:hAnsi="Cambria" w:cstheme="minorHAnsi"/>
          <w:sz w:val="24"/>
          <w:szCs w:val="24"/>
        </w:rPr>
        <w:t>2.</w:t>
      </w:r>
      <w:r w:rsidR="00135DF1" w:rsidRPr="00135DF1">
        <w:rPr>
          <w:rFonts w:ascii="Cambria" w:hAnsi="Cambria" w:cstheme="minorHAnsi"/>
          <w:sz w:val="24"/>
          <w:szCs w:val="24"/>
        </w:rPr>
        <w:t>483.194,47</w:t>
      </w:r>
      <w:r w:rsidR="001D2D99" w:rsidRPr="00135DF1">
        <w:rPr>
          <w:rFonts w:ascii="Cambria" w:hAnsi="Cambria" w:cstheme="minorHAnsi"/>
          <w:sz w:val="24"/>
          <w:szCs w:val="24"/>
        </w:rPr>
        <w:t xml:space="preserve"> €</w:t>
      </w:r>
      <w:r w:rsidRPr="00135DF1">
        <w:rPr>
          <w:rFonts w:ascii="Cambria" w:hAnsi="Cambria" w:cstheme="minorHAnsi"/>
          <w:sz w:val="24"/>
          <w:szCs w:val="24"/>
        </w:rPr>
        <w:t xml:space="preserve">. Izvršenje </w:t>
      </w:r>
      <w:r w:rsidR="000651CB" w:rsidRPr="00135DF1">
        <w:rPr>
          <w:rFonts w:ascii="Cambria" w:hAnsi="Cambria" w:cstheme="minorHAnsi"/>
          <w:sz w:val="24"/>
          <w:szCs w:val="24"/>
        </w:rPr>
        <w:t xml:space="preserve">u odnosu na </w:t>
      </w:r>
      <w:r w:rsidRPr="00135DF1">
        <w:rPr>
          <w:rFonts w:ascii="Cambria" w:hAnsi="Cambria" w:cstheme="minorHAnsi"/>
          <w:sz w:val="24"/>
          <w:szCs w:val="24"/>
        </w:rPr>
        <w:t>plan je</w:t>
      </w:r>
      <w:r w:rsidR="00135DF1" w:rsidRPr="00135DF1">
        <w:rPr>
          <w:rFonts w:ascii="Cambria" w:hAnsi="Cambria" w:cstheme="minorHAnsi"/>
          <w:sz w:val="24"/>
          <w:szCs w:val="24"/>
        </w:rPr>
        <w:t xml:space="preserve"> 95,95</w:t>
      </w:r>
      <w:r w:rsidRPr="00135DF1">
        <w:rPr>
          <w:rFonts w:ascii="Cambria" w:hAnsi="Cambria" w:cstheme="minorHAnsi"/>
          <w:sz w:val="24"/>
          <w:szCs w:val="24"/>
        </w:rPr>
        <w:t xml:space="preserve"> </w:t>
      </w:r>
      <w:r w:rsidR="001D2D99" w:rsidRPr="00135DF1">
        <w:rPr>
          <w:rFonts w:ascii="Cambria" w:hAnsi="Cambria" w:cstheme="minorHAnsi"/>
          <w:sz w:val="24"/>
          <w:szCs w:val="24"/>
        </w:rPr>
        <w:t>%</w:t>
      </w:r>
      <w:r w:rsidRPr="00135DF1">
        <w:rPr>
          <w:rFonts w:ascii="Cambria" w:hAnsi="Cambria" w:cstheme="minorHAnsi"/>
          <w:sz w:val="24"/>
          <w:szCs w:val="24"/>
        </w:rPr>
        <w:t>.</w:t>
      </w:r>
      <w:r w:rsidR="0049731A" w:rsidRPr="00135DF1">
        <w:rPr>
          <w:rFonts w:ascii="Cambria" w:hAnsi="Cambria" w:cstheme="minorHAnsi"/>
          <w:sz w:val="24"/>
          <w:szCs w:val="24"/>
        </w:rPr>
        <w:t xml:space="preserve"> Povećan</w:t>
      </w:r>
      <w:r w:rsidR="000651CB" w:rsidRPr="00135DF1">
        <w:rPr>
          <w:rFonts w:ascii="Cambria" w:hAnsi="Cambria" w:cstheme="minorHAnsi"/>
          <w:sz w:val="24"/>
          <w:szCs w:val="24"/>
        </w:rPr>
        <w:t xml:space="preserve">i su rashodi </w:t>
      </w:r>
      <w:r w:rsidR="0049731A" w:rsidRPr="00135DF1">
        <w:rPr>
          <w:rFonts w:ascii="Cambria" w:hAnsi="Cambria" w:cstheme="minorHAnsi"/>
          <w:sz w:val="24"/>
          <w:szCs w:val="24"/>
        </w:rPr>
        <w:t xml:space="preserve"> za plaće te razni dodaci za </w:t>
      </w:r>
      <w:r w:rsidR="000651CB" w:rsidRPr="00135DF1">
        <w:rPr>
          <w:rFonts w:ascii="Cambria" w:hAnsi="Cambria" w:cstheme="minorHAnsi"/>
          <w:sz w:val="24"/>
          <w:szCs w:val="24"/>
        </w:rPr>
        <w:t>materijalna prava</w:t>
      </w:r>
      <w:r w:rsidR="0026034A">
        <w:rPr>
          <w:rFonts w:ascii="Cambria" w:hAnsi="Cambria" w:cstheme="minorHAnsi"/>
          <w:sz w:val="24"/>
          <w:szCs w:val="24"/>
        </w:rPr>
        <w:t xml:space="preserve"> u odnosu na prošlu godinu</w:t>
      </w:r>
      <w:r w:rsidR="000651CB" w:rsidRPr="00135DF1">
        <w:rPr>
          <w:rFonts w:ascii="Cambria" w:hAnsi="Cambria" w:cstheme="minorHAnsi"/>
          <w:sz w:val="24"/>
          <w:szCs w:val="24"/>
        </w:rPr>
        <w:t>.</w:t>
      </w:r>
    </w:p>
    <w:p w14:paraId="7A595334" w14:textId="77777777" w:rsidR="00135DF1" w:rsidRPr="00135DF1" w:rsidRDefault="00135DF1" w:rsidP="008B0635">
      <w:pPr>
        <w:pStyle w:val="Odlomakpopisa"/>
        <w:spacing w:line="276" w:lineRule="auto"/>
        <w:rPr>
          <w:rFonts w:ascii="Cambria" w:hAnsi="Cambria" w:cs="Arial"/>
          <w:bCs/>
          <w:color w:val="000000"/>
          <w:sz w:val="24"/>
          <w:szCs w:val="24"/>
        </w:rPr>
      </w:pPr>
      <w:r w:rsidRPr="00135DF1">
        <w:rPr>
          <w:rFonts w:ascii="Cambria" w:hAnsi="Cambria" w:cs="Arial"/>
          <w:bCs/>
          <w:color w:val="000000"/>
          <w:sz w:val="24"/>
          <w:szCs w:val="24"/>
        </w:rPr>
        <w:t>Izvor financiranja: Pomoći</w:t>
      </w:r>
    </w:p>
    <w:p w14:paraId="4FD9FBD5" w14:textId="77777777" w:rsidR="00135DF1" w:rsidRPr="00135DF1" w:rsidRDefault="00135DF1" w:rsidP="008B0635">
      <w:pPr>
        <w:pStyle w:val="Odlomakpopisa"/>
        <w:spacing w:line="276" w:lineRule="auto"/>
        <w:jc w:val="both"/>
        <w:rPr>
          <w:rFonts w:ascii="Cambria" w:hAnsi="Cambria"/>
          <w:sz w:val="24"/>
          <w:szCs w:val="24"/>
        </w:rPr>
      </w:pPr>
      <w:r w:rsidRPr="00135DF1">
        <w:rPr>
          <w:rFonts w:ascii="Cambria" w:hAnsi="Cambria"/>
          <w:sz w:val="24"/>
          <w:szCs w:val="24"/>
        </w:rPr>
        <w:t>Pokazatelji uspješnosti:</w:t>
      </w:r>
    </w:p>
    <w:p w14:paraId="789F03A6" w14:textId="77777777" w:rsidR="00135DF1" w:rsidRPr="00135DF1" w:rsidRDefault="00135DF1" w:rsidP="008B0635">
      <w:pPr>
        <w:pStyle w:val="Odlomakpopisa"/>
        <w:spacing w:line="276" w:lineRule="auto"/>
        <w:jc w:val="both"/>
        <w:rPr>
          <w:rFonts w:ascii="Cambria" w:hAnsi="Cambria"/>
          <w:sz w:val="24"/>
          <w:szCs w:val="24"/>
        </w:rPr>
      </w:pPr>
      <w:r w:rsidRPr="00135DF1">
        <w:rPr>
          <w:rFonts w:ascii="Cambria" w:hAnsi="Cambria"/>
          <w:sz w:val="24"/>
          <w:szCs w:val="24"/>
        </w:rPr>
        <w:t xml:space="preserve">Pokazatelji učinka: Osigurati kvalitetno obrazovanje osnovne škole, te sve popratne aktivnosti koje su nužne kao podrška obrazovnom sustavu, a koje su u nadležnosti  škole. </w:t>
      </w:r>
    </w:p>
    <w:p w14:paraId="075BFF61" w14:textId="77777777" w:rsidR="00135DF1" w:rsidRPr="00135DF1" w:rsidRDefault="00135DF1" w:rsidP="008B0635">
      <w:pPr>
        <w:pStyle w:val="Odlomakpopisa"/>
        <w:spacing w:line="276" w:lineRule="auto"/>
        <w:jc w:val="both"/>
        <w:rPr>
          <w:rFonts w:ascii="Cambria" w:hAnsi="Cambria"/>
          <w:sz w:val="24"/>
          <w:szCs w:val="24"/>
        </w:rPr>
      </w:pPr>
      <w:r w:rsidRPr="00135DF1">
        <w:rPr>
          <w:rFonts w:ascii="Cambria" w:hAnsi="Cambria"/>
          <w:sz w:val="24"/>
          <w:szCs w:val="24"/>
        </w:rPr>
        <w:lastRenderedPageBreak/>
        <w:t>Pokazatelji rezultata: Osigurane plaće  i materijalna prava zaposlenika iz državnog proračuna i  uspješno izvršenje zadaća iz djelokruga škole.</w:t>
      </w:r>
    </w:p>
    <w:p w14:paraId="5F36458B" w14:textId="77777777" w:rsidR="00135DF1" w:rsidRPr="00135DF1" w:rsidRDefault="00135DF1" w:rsidP="008B0635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</w:p>
    <w:p w14:paraId="2742F080" w14:textId="77777777" w:rsidR="00A178E4" w:rsidRDefault="00A178E4" w:rsidP="008B0635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</w:p>
    <w:p w14:paraId="3A48232D" w14:textId="48D52664" w:rsidR="00A178E4" w:rsidRDefault="00A178E4" w:rsidP="008B0635">
      <w:pPr>
        <w:pStyle w:val="Odlomakpopisa"/>
        <w:numPr>
          <w:ilvl w:val="0"/>
          <w:numId w:val="3"/>
        </w:num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Tekući projekt T100001 Županijska stručna vijeća </w:t>
      </w:r>
      <w:r w:rsidR="00411CCE">
        <w:rPr>
          <w:rFonts w:ascii="Cambria" w:hAnsi="Cambria" w:cstheme="minorHAnsi"/>
          <w:sz w:val="24"/>
          <w:szCs w:val="24"/>
        </w:rPr>
        <w:t>izvršen</w:t>
      </w:r>
      <w:r>
        <w:rPr>
          <w:rFonts w:ascii="Cambria" w:hAnsi="Cambria" w:cstheme="minorHAnsi"/>
          <w:sz w:val="24"/>
          <w:szCs w:val="24"/>
        </w:rPr>
        <w:t xml:space="preserve"> je u odnosu na plan</w:t>
      </w:r>
      <w:r w:rsidR="00F354E4">
        <w:rPr>
          <w:rFonts w:ascii="Cambria" w:hAnsi="Cambria" w:cstheme="minorHAnsi"/>
          <w:sz w:val="24"/>
          <w:szCs w:val="24"/>
        </w:rPr>
        <w:t xml:space="preserve">irano </w:t>
      </w:r>
      <w:r>
        <w:rPr>
          <w:rFonts w:ascii="Cambria" w:hAnsi="Cambria" w:cstheme="minorHAnsi"/>
          <w:sz w:val="24"/>
          <w:szCs w:val="24"/>
        </w:rPr>
        <w:t xml:space="preserve"> </w:t>
      </w:r>
      <w:r w:rsidR="0026034A">
        <w:rPr>
          <w:rFonts w:ascii="Cambria" w:hAnsi="Cambria" w:cstheme="minorHAnsi"/>
          <w:sz w:val="24"/>
          <w:szCs w:val="24"/>
        </w:rPr>
        <w:t>78,37</w:t>
      </w:r>
      <w:r>
        <w:rPr>
          <w:rFonts w:ascii="Cambria" w:hAnsi="Cambria" w:cstheme="minorHAnsi"/>
          <w:sz w:val="24"/>
          <w:szCs w:val="24"/>
        </w:rPr>
        <w:t xml:space="preserve"> %. Planirano je za rad </w:t>
      </w:r>
      <w:r w:rsidR="00076441">
        <w:rPr>
          <w:rFonts w:ascii="Cambria" w:hAnsi="Cambria" w:cstheme="minorHAnsi"/>
          <w:sz w:val="24"/>
          <w:szCs w:val="24"/>
        </w:rPr>
        <w:t>2</w:t>
      </w:r>
      <w:r>
        <w:rPr>
          <w:rFonts w:ascii="Cambria" w:hAnsi="Cambria" w:cstheme="minorHAnsi"/>
          <w:sz w:val="24"/>
          <w:szCs w:val="24"/>
        </w:rPr>
        <w:t xml:space="preserve"> voditelja županijskih stručnih vijeća</w:t>
      </w:r>
      <w:r w:rsidR="00076441">
        <w:rPr>
          <w:rFonts w:ascii="Cambria" w:hAnsi="Cambria" w:cstheme="minorHAnsi"/>
          <w:sz w:val="24"/>
          <w:szCs w:val="24"/>
        </w:rPr>
        <w:t>.</w:t>
      </w:r>
    </w:p>
    <w:p w14:paraId="66213AD3" w14:textId="77777777" w:rsidR="0026034A" w:rsidRPr="0026034A" w:rsidRDefault="0026034A" w:rsidP="008B0635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26034A">
        <w:rPr>
          <w:rFonts w:ascii="Cambria" w:hAnsi="Cambria" w:cstheme="minorHAnsi"/>
          <w:sz w:val="24"/>
          <w:szCs w:val="24"/>
        </w:rPr>
        <w:t xml:space="preserve">Izvor financiranja: Pomoći </w:t>
      </w:r>
    </w:p>
    <w:p w14:paraId="23DAA864" w14:textId="77777777" w:rsidR="0026034A" w:rsidRPr="0026034A" w:rsidRDefault="0026034A" w:rsidP="008B0635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26034A">
        <w:rPr>
          <w:rFonts w:ascii="Cambria" w:hAnsi="Cambria" w:cstheme="minorHAnsi"/>
          <w:sz w:val="24"/>
          <w:szCs w:val="24"/>
        </w:rPr>
        <w:t>Pokazatelji uspješnosti:</w:t>
      </w:r>
    </w:p>
    <w:p w14:paraId="167AC1D9" w14:textId="77777777" w:rsidR="0026034A" w:rsidRPr="0026034A" w:rsidRDefault="0026034A" w:rsidP="008B0635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26034A">
        <w:rPr>
          <w:rFonts w:ascii="Cambria" w:hAnsi="Cambria" w:cstheme="minorHAnsi"/>
          <w:sz w:val="24"/>
          <w:szCs w:val="24"/>
        </w:rPr>
        <w:t xml:space="preserve">Pokazatelji učinka: potaknuti novi projekti i aktivnosti, potaknuta suradnja prosvjetnih djelatnika u osnovnom školstvu, usavršavanje i obrazovanje prosvjetnih djelatnika </w:t>
      </w:r>
    </w:p>
    <w:p w14:paraId="1A4EED1E" w14:textId="7E6B5A2D" w:rsidR="0026034A" w:rsidRPr="00A178E4" w:rsidRDefault="0026034A" w:rsidP="008B0635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26034A">
        <w:rPr>
          <w:rFonts w:ascii="Cambria" w:hAnsi="Cambria" w:cstheme="minorHAnsi"/>
          <w:sz w:val="24"/>
          <w:szCs w:val="24"/>
        </w:rPr>
        <w:t>Pokazatelji rezultata: financirat će se rad Stručnih vijeća iz predmeta biologije i likovne kulture.</w:t>
      </w:r>
    </w:p>
    <w:p w14:paraId="7209382A" w14:textId="77777777" w:rsidR="0003481C" w:rsidRDefault="0003481C" w:rsidP="008B0635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</w:p>
    <w:p w14:paraId="67AA4ADC" w14:textId="5C3060F4" w:rsidR="0049731A" w:rsidRPr="0026034A" w:rsidRDefault="0049731A" w:rsidP="008B0635">
      <w:pPr>
        <w:pStyle w:val="Odlomakpopisa"/>
        <w:numPr>
          <w:ilvl w:val="0"/>
          <w:numId w:val="3"/>
        </w:num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Tekući projekt T100003 Školska kuhinja  </w:t>
      </w:r>
      <w:r w:rsidR="00411CCE">
        <w:rPr>
          <w:rFonts w:ascii="Cambria" w:hAnsi="Cambria" w:cstheme="minorHAnsi"/>
          <w:sz w:val="24"/>
          <w:szCs w:val="24"/>
        </w:rPr>
        <w:t>izvršen</w:t>
      </w:r>
      <w:r w:rsidR="00F354E4">
        <w:rPr>
          <w:rFonts w:ascii="Cambria" w:hAnsi="Cambria" w:cstheme="minorHAnsi"/>
          <w:sz w:val="24"/>
          <w:szCs w:val="24"/>
        </w:rPr>
        <w:t xml:space="preserve"> je </w:t>
      </w:r>
      <w:r>
        <w:rPr>
          <w:rFonts w:ascii="Cambria" w:hAnsi="Cambria" w:cstheme="minorHAnsi"/>
          <w:sz w:val="24"/>
          <w:szCs w:val="24"/>
        </w:rPr>
        <w:t xml:space="preserve">u iznosu  </w:t>
      </w:r>
      <w:r w:rsidR="00A178E4">
        <w:rPr>
          <w:rFonts w:ascii="Cambria" w:hAnsi="Cambria" w:cstheme="minorHAnsi"/>
          <w:sz w:val="24"/>
          <w:szCs w:val="24"/>
        </w:rPr>
        <w:t>14</w:t>
      </w:r>
      <w:r w:rsidR="00076441">
        <w:rPr>
          <w:rFonts w:ascii="Cambria" w:hAnsi="Cambria" w:cstheme="minorHAnsi"/>
          <w:sz w:val="24"/>
          <w:szCs w:val="24"/>
        </w:rPr>
        <w:t>2.</w:t>
      </w:r>
      <w:r w:rsidR="00A6523F">
        <w:rPr>
          <w:rFonts w:ascii="Cambria" w:hAnsi="Cambria" w:cstheme="minorHAnsi"/>
          <w:sz w:val="24"/>
          <w:szCs w:val="24"/>
        </w:rPr>
        <w:t xml:space="preserve">059,94 </w:t>
      </w:r>
      <w:r w:rsidR="00A178E4">
        <w:rPr>
          <w:rFonts w:ascii="Cambria" w:hAnsi="Cambria" w:cstheme="minorHAnsi"/>
          <w:sz w:val="24"/>
          <w:szCs w:val="24"/>
        </w:rPr>
        <w:t>€</w:t>
      </w:r>
      <w:r>
        <w:rPr>
          <w:rFonts w:ascii="Cambria" w:hAnsi="Cambria" w:cstheme="minorHAnsi"/>
          <w:sz w:val="24"/>
          <w:szCs w:val="24"/>
        </w:rPr>
        <w:t xml:space="preserve">. Izvršenje je u odnosu na </w:t>
      </w:r>
      <w:r w:rsidR="00F354E4">
        <w:rPr>
          <w:rFonts w:ascii="Cambria" w:hAnsi="Cambria" w:cstheme="minorHAnsi"/>
          <w:sz w:val="24"/>
          <w:szCs w:val="24"/>
        </w:rPr>
        <w:t>planirano</w:t>
      </w:r>
      <w:r w:rsidR="00A178E4">
        <w:rPr>
          <w:rFonts w:ascii="Cambria" w:hAnsi="Cambria" w:cstheme="minorHAnsi"/>
          <w:sz w:val="24"/>
          <w:szCs w:val="24"/>
        </w:rPr>
        <w:t xml:space="preserve"> 9</w:t>
      </w:r>
      <w:r w:rsidR="00A6523F">
        <w:rPr>
          <w:rFonts w:ascii="Cambria" w:hAnsi="Cambria" w:cstheme="minorHAnsi"/>
          <w:sz w:val="24"/>
          <w:szCs w:val="24"/>
        </w:rPr>
        <w:t>6</w:t>
      </w:r>
      <w:r w:rsidR="00076441">
        <w:rPr>
          <w:rFonts w:ascii="Cambria" w:hAnsi="Cambria" w:cstheme="minorHAnsi"/>
          <w:sz w:val="24"/>
          <w:szCs w:val="24"/>
        </w:rPr>
        <w:t>,8</w:t>
      </w:r>
      <w:r w:rsidR="00A6523F">
        <w:rPr>
          <w:rFonts w:ascii="Cambria" w:hAnsi="Cambria" w:cstheme="minorHAnsi"/>
          <w:sz w:val="24"/>
          <w:szCs w:val="24"/>
        </w:rPr>
        <w:t>3</w:t>
      </w:r>
      <w:r w:rsidR="00076441">
        <w:rPr>
          <w:rFonts w:ascii="Cambria" w:hAnsi="Cambria" w:cstheme="minorHAnsi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 xml:space="preserve">%. </w:t>
      </w:r>
      <w:r w:rsidR="0026034A" w:rsidRPr="0026034A">
        <w:rPr>
          <w:rFonts w:ascii="Cambria" w:hAnsi="Cambria" w:cstheme="minorHAnsi"/>
          <w:sz w:val="24"/>
          <w:szCs w:val="24"/>
        </w:rPr>
        <w:t xml:space="preserve">Opći cilj je osiguravanje kvalitetne prehrane učenika. Posebni cilj projekta je </w:t>
      </w:r>
      <w:r w:rsidR="0026034A" w:rsidRPr="0026034A">
        <w:rPr>
          <w:rFonts w:ascii="Cambria" w:hAnsi="Cambria" w:cstheme="minorHAnsi"/>
          <w:bCs/>
          <w:sz w:val="24"/>
          <w:szCs w:val="24"/>
        </w:rPr>
        <w:t xml:space="preserve"> razvoj pravilnih prehrambenih navika</w:t>
      </w:r>
      <w:r w:rsidR="0026034A" w:rsidRPr="0026034A">
        <w:rPr>
          <w:rFonts w:ascii="Cambria" w:hAnsi="Cambria" w:cstheme="minorHAnsi"/>
          <w:sz w:val="24"/>
          <w:szCs w:val="24"/>
        </w:rPr>
        <w:t>.</w:t>
      </w:r>
    </w:p>
    <w:p w14:paraId="3F7F80B8" w14:textId="77777777" w:rsidR="0026034A" w:rsidRPr="0026034A" w:rsidRDefault="0026034A" w:rsidP="008B0635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26034A">
        <w:rPr>
          <w:rFonts w:ascii="Cambria" w:hAnsi="Cambria" w:cstheme="minorHAnsi"/>
          <w:sz w:val="24"/>
          <w:szCs w:val="24"/>
        </w:rPr>
        <w:t>Izvor financiranja: Prihodi za posebne namjene i Pomoći</w:t>
      </w:r>
    </w:p>
    <w:p w14:paraId="1979F0BB" w14:textId="77777777" w:rsidR="0026034A" w:rsidRPr="0026034A" w:rsidRDefault="0026034A" w:rsidP="008B0635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26034A">
        <w:rPr>
          <w:rFonts w:ascii="Cambria" w:hAnsi="Cambria" w:cstheme="minorHAnsi"/>
          <w:sz w:val="24"/>
          <w:szCs w:val="24"/>
        </w:rPr>
        <w:t>Pokazatelji uspješnosti:</w:t>
      </w:r>
    </w:p>
    <w:p w14:paraId="76150042" w14:textId="77777777" w:rsidR="0026034A" w:rsidRPr="0026034A" w:rsidRDefault="0026034A" w:rsidP="008B0635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26034A">
        <w:rPr>
          <w:rFonts w:ascii="Cambria" w:hAnsi="Cambria" w:cstheme="minorHAnsi"/>
          <w:sz w:val="24"/>
          <w:szCs w:val="24"/>
        </w:rPr>
        <w:t xml:space="preserve">Pokazatelji učinka: osigurati da školski program i obrazovne aktivnosti olakšaju djeci razvijanje pravilnih prehrambenih navika i osiguraju kvalitetnu prehranu. </w:t>
      </w:r>
    </w:p>
    <w:p w14:paraId="2C0E6F07" w14:textId="49BA0DF3" w:rsidR="0026034A" w:rsidRPr="00831DAD" w:rsidRDefault="0026034A" w:rsidP="00831DAD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26034A">
        <w:rPr>
          <w:rFonts w:ascii="Cambria" w:hAnsi="Cambria" w:cstheme="minorHAnsi"/>
          <w:sz w:val="24"/>
          <w:szCs w:val="24"/>
        </w:rPr>
        <w:t xml:space="preserve">Pokazatelji rezultata: Uspješno osigurana prehrana za oko </w:t>
      </w:r>
      <w:r>
        <w:rPr>
          <w:rFonts w:ascii="Cambria" w:hAnsi="Cambria" w:cstheme="minorHAnsi"/>
          <w:sz w:val="24"/>
          <w:szCs w:val="24"/>
        </w:rPr>
        <w:t>5</w:t>
      </w:r>
      <w:r w:rsidR="00B67BFF">
        <w:rPr>
          <w:rFonts w:ascii="Cambria" w:hAnsi="Cambria" w:cstheme="minorHAnsi"/>
          <w:sz w:val="24"/>
          <w:szCs w:val="24"/>
        </w:rPr>
        <w:t>73</w:t>
      </w:r>
      <w:r w:rsidRPr="0026034A">
        <w:rPr>
          <w:rFonts w:ascii="Cambria" w:hAnsi="Cambria" w:cstheme="minorHAnsi"/>
          <w:sz w:val="24"/>
          <w:szCs w:val="24"/>
        </w:rPr>
        <w:t xml:space="preserve"> učenika u školskoj godini 202</w:t>
      </w:r>
      <w:r>
        <w:rPr>
          <w:rFonts w:ascii="Cambria" w:hAnsi="Cambria" w:cstheme="minorHAnsi"/>
          <w:sz w:val="24"/>
          <w:szCs w:val="24"/>
        </w:rPr>
        <w:t>5</w:t>
      </w:r>
      <w:r w:rsidRPr="0026034A">
        <w:rPr>
          <w:rFonts w:ascii="Cambria" w:hAnsi="Cambria" w:cstheme="minorHAnsi"/>
          <w:sz w:val="24"/>
          <w:szCs w:val="24"/>
        </w:rPr>
        <w:t>./202</w:t>
      </w:r>
      <w:r>
        <w:rPr>
          <w:rFonts w:ascii="Cambria" w:hAnsi="Cambria" w:cstheme="minorHAnsi"/>
          <w:sz w:val="24"/>
          <w:szCs w:val="24"/>
        </w:rPr>
        <w:t>6</w:t>
      </w:r>
      <w:r w:rsidRPr="0026034A">
        <w:rPr>
          <w:rFonts w:ascii="Cambria" w:hAnsi="Cambria" w:cstheme="minorHAnsi"/>
          <w:sz w:val="24"/>
          <w:szCs w:val="24"/>
        </w:rPr>
        <w:t xml:space="preserve">. te </w:t>
      </w:r>
      <w:r>
        <w:rPr>
          <w:rFonts w:ascii="Cambria" w:hAnsi="Cambria" w:cstheme="minorHAnsi"/>
          <w:sz w:val="24"/>
          <w:szCs w:val="24"/>
        </w:rPr>
        <w:t>59</w:t>
      </w:r>
      <w:r w:rsidRPr="0026034A">
        <w:rPr>
          <w:rFonts w:ascii="Cambria" w:hAnsi="Cambria" w:cstheme="minorHAnsi"/>
          <w:sz w:val="24"/>
          <w:szCs w:val="24"/>
        </w:rPr>
        <w:t xml:space="preserve"> učenika koja pohađaju produženi boravak gdje su im osigurana tri obroka.</w:t>
      </w:r>
    </w:p>
    <w:p w14:paraId="3C4EFF2D" w14:textId="77777777" w:rsidR="007F56AC" w:rsidRDefault="007F56AC" w:rsidP="008B0635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</w:p>
    <w:p w14:paraId="76811317" w14:textId="642A377C" w:rsidR="008B0635" w:rsidRPr="008B0635" w:rsidRDefault="007F56AC" w:rsidP="008B0635">
      <w:pPr>
        <w:pStyle w:val="Odlomakpopisa"/>
        <w:numPr>
          <w:ilvl w:val="0"/>
          <w:numId w:val="3"/>
        </w:numPr>
        <w:spacing w:line="276" w:lineRule="auto"/>
        <w:rPr>
          <w:rFonts w:ascii="Cambria" w:hAnsi="Cambria" w:cstheme="minorHAnsi"/>
          <w:sz w:val="24"/>
          <w:szCs w:val="24"/>
        </w:rPr>
      </w:pPr>
      <w:r w:rsidRPr="008B0635">
        <w:rPr>
          <w:rFonts w:ascii="Cambria" w:hAnsi="Cambria" w:cstheme="minorHAnsi"/>
          <w:sz w:val="24"/>
          <w:szCs w:val="24"/>
        </w:rPr>
        <w:t>Tekući projekt T100026 Školska sportska društva u 202</w:t>
      </w:r>
      <w:r w:rsidR="008B0635" w:rsidRPr="008B0635">
        <w:rPr>
          <w:rFonts w:ascii="Cambria" w:hAnsi="Cambria" w:cstheme="minorHAnsi"/>
          <w:sz w:val="24"/>
          <w:szCs w:val="24"/>
        </w:rPr>
        <w:t>5</w:t>
      </w:r>
      <w:r w:rsidRPr="008B0635">
        <w:rPr>
          <w:rFonts w:ascii="Cambria" w:hAnsi="Cambria" w:cstheme="minorHAnsi"/>
          <w:sz w:val="24"/>
          <w:szCs w:val="24"/>
        </w:rPr>
        <w:t xml:space="preserve">. nije </w:t>
      </w:r>
      <w:r w:rsidR="00411CCE" w:rsidRPr="008B0635">
        <w:rPr>
          <w:rFonts w:ascii="Cambria" w:hAnsi="Cambria" w:cstheme="minorHAnsi"/>
          <w:sz w:val="24"/>
          <w:szCs w:val="24"/>
        </w:rPr>
        <w:t>realiziran</w:t>
      </w:r>
      <w:r w:rsidRPr="008B0635">
        <w:rPr>
          <w:rFonts w:ascii="Cambria" w:hAnsi="Cambria" w:cstheme="minorHAnsi"/>
          <w:sz w:val="24"/>
          <w:szCs w:val="24"/>
        </w:rPr>
        <w:t>.</w:t>
      </w:r>
      <w:r w:rsidR="008B0635" w:rsidRPr="008B0635">
        <w:rPr>
          <w:rFonts w:ascii="Cambria" w:hAnsi="Cambria"/>
          <w:sz w:val="24"/>
          <w:szCs w:val="24"/>
        </w:rPr>
        <w:t xml:space="preserve"> </w:t>
      </w:r>
      <w:r w:rsidR="008B0635" w:rsidRPr="008B0635">
        <w:rPr>
          <w:rFonts w:ascii="Cambria" w:hAnsi="Cambria" w:cstheme="minorHAnsi"/>
          <w:sz w:val="24"/>
          <w:szCs w:val="24"/>
        </w:rPr>
        <w:t>Školska sportska društva osnivaju se radi provođenja izvannastavnih školskih sportskih aktivnosti učenika te sudjelovanja u programima školskih sportskih saveza, odnosno Hrvatskog školskog sportskog saveza. Opći cilj projekta je uključivanje što većeg broja učenika u izvannastavne sportske aktivnosti.</w:t>
      </w:r>
    </w:p>
    <w:p w14:paraId="6A1D628C" w14:textId="50C657FC" w:rsidR="0003481C" w:rsidRPr="008B0635" w:rsidRDefault="0003481C" w:rsidP="008B0635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</w:p>
    <w:p w14:paraId="74E253B4" w14:textId="08B2E4EF" w:rsidR="001E5501" w:rsidRDefault="0049731A" w:rsidP="001E5501">
      <w:pPr>
        <w:pStyle w:val="Odlomakpopisa"/>
        <w:numPr>
          <w:ilvl w:val="0"/>
          <w:numId w:val="3"/>
        </w:num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Tekući projekt T100006 Produženi boravak </w:t>
      </w:r>
      <w:r w:rsidR="00411CCE">
        <w:rPr>
          <w:rFonts w:ascii="Cambria" w:hAnsi="Cambria" w:cstheme="minorHAnsi"/>
          <w:sz w:val="24"/>
          <w:szCs w:val="24"/>
        </w:rPr>
        <w:t>izvršen</w:t>
      </w:r>
      <w:r>
        <w:rPr>
          <w:rFonts w:ascii="Cambria" w:hAnsi="Cambria" w:cstheme="minorHAnsi"/>
          <w:sz w:val="24"/>
          <w:szCs w:val="24"/>
        </w:rPr>
        <w:t xml:space="preserve"> je u iznosu</w:t>
      </w:r>
      <w:r w:rsidR="007F56AC">
        <w:rPr>
          <w:rFonts w:ascii="Cambria" w:hAnsi="Cambria" w:cstheme="minorHAnsi"/>
          <w:sz w:val="24"/>
          <w:szCs w:val="24"/>
        </w:rPr>
        <w:t xml:space="preserve"> </w:t>
      </w:r>
      <w:r w:rsidR="009757F5">
        <w:rPr>
          <w:rFonts w:ascii="Cambria" w:hAnsi="Cambria" w:cstheme="minorHAnsi"/>
          <w:sz w:val="24"/>
          <w:szCs w:val="24"/>
        </w:rPr>
        <w:t>1</w:t>
      </w:r>
      <w:r w:rsidR="00A6523F">
        <w:rPr>
          <w:rFonts w:ascii="Cambria" w:hAnsi="Cambria" w:cstheme="minorHAnsi"/>
          <w:sz w:val="24"/>
          <w:szCs w:val="24"/>
        </w:rPr>
        <w:t>21.150,29</w:t>
      </w:r>
      <w:r>
        <w:rPr>
          <w:rFonts w:ascii="Cambria" w:hAnsi="Cambria" w:cstheme="minorHAnsi"/>
          <w:sz w:val="24"/>
          <w:szCs w:val="24"/>
        </w:rPr>
        <w:t xml:space="preserve"> </w:t>
      </w:r>
      <w:r w:rsidR="007F56AC">
        <w:rPr>
          <w:rFonts w:ascii="Cambria" w:hAnsi="Cambria" w:cstheme="minorHAnsi"/>
          <w:sz w:val="24"/>
          <w:szCs w:val="24"/>
        </w:rPr>
        <w:t xml:space="preserve">€ što je </w:t>
      </w:r>
      <w:r w:rsidR="009757F5">
        <w:rPr>
          <w:rFonts w:ascii="Cambria" w:hAnsi="Cambria" w:cstheme="minorHAnsi"/>
          <w:sz w:val="24"/>
          <w:szCs w:val="24"/>
        </w:rPr>
        <w:t>9</w:t>
      </w:r>
      <w:r w:rsidR="00A6523F">
        <w:rPr>
          <w:rFonts w:ascii="Cambria" w:hAnsi="Cambria" w:cstheme="minorHAnsi"/>
          <w:sz w:val="24"/>
          <w:szCs w:val="24"/>
        </w:rPr>
        <w:t>8</w:t>
      </w:r>
      <w:r w:rsidR="009757F5">
        <w:rPr>
          <w:rFonts w:ascii="Cambria" w:hAnsi="Cambria" w:cstheme="minorHAnsi"/>
          <w:sz w:val="24"/>
          <w:szCs w:val="24"/>
        </w:rPr>
        <w:t>,</w:t>
      </w:r>
      <w:r w:rsidR="00A6523F">
        <w:rPr>
          <w:rFonts w:ascii="Cambria" w:hAnsi="Cambria" w:cstheme="minorHAnsi"/>
          <w:sz w:val="24"/>
          <w:szCs w:val="24"/>
        </w:rPr>
        <w:t>1</w:t>
      </w:r>
      <w:r w:rsidR="009757F5">
        <w:rPr>
          <w:rFonts w:ascii="Cambria" w:hAnsi="Cambria" w:cstheme="minorHAnsi"/>
          <w:sz w:val="24"/>
          <w:szCs w:val="24"/>
        </w:rPr>
        <w:t>0</w:t>
      </w:r>
      <w:r w:rsidR="007F56AC">
        <w:rPr>
          <w:rFonts w:ascii="Cambria" w:hAnsi="Cambria" w:cstheme="minorHAnsi"/>
          <w:sz w:val="24"/>
          <w:szCs w:val="24"/>
        </w:rPr>
        <w:t xml:space="preserve"> %  u odnosu na plan</w:t>
      </w:r>
      <w:r w:rsidR="00F354E4">
        <w:rPr>
          <w:rFonts w:ascii="Cambria" w:hAnsi="Cambria" w:cstheme="minorHAnsi"/>
          <w:sz w:val="24"/>
          <w:szCs w:val="24"/>
        </w:rPr>
        <w:t>irano</w:t>
      </w:r>
      <w:r w:rsidR="007F56AC">
        <w:rPr>
          <w:rFonts w:ascii="Cambria" w:hAnsi="Cambria" w:cstheme="minorHAnsi"/>
          <w:sz w:val="24"/>
          <w:szCs w:val="24"/>
        </w:rPr>
        <w:t xml:space="preserve">. </w:t>
      </w:r>
      <w:r>
        <w:rPr>
          <w:rFonts w:ascii="Cambria" w:hAnsi="Cambria" w:cstheme="minorHAnsi"/>
          <w:sz w:val="24"/>
          <w:szCs w:val="24"/>
        </w:rPr>
        <w:t>U šk. god. 202</w:t>
      </w:r>
      <w:r w:rsidR="00A6523F">
        <w:rPr>
          <w:rFonts w:ascii="Cambria" w:hAnsi="Cambria" w:cstheme="minorHAnsi"/>
          <w:sz w:val="24"/>
          <w:szCs w:val="24"/>
        </w:rPr>
        <w:t>5</w:t>
      </w:r>
      <w:r>
        <w:rPr>
          <w:rFonts w:ascii="Cambria" w:hAnsi="Cambria" w:cstheme="minorHAnsi"/>
          <w:sz w:val="24"/>
          <w:szCs w:val="24"/>
        </w:rPr>
        <w:t>./202</w:t>
      </w:r>
      <w:r w:rsidR="00A6523F">
        <w:rPr>
          <w:rFonts w:ascii="Cambria" w:hAnsi="Cambria" w:cstheme="minorHAnsi"/>
          <w:sz w:val="24"/>
          <w:szCs w:val="24"/>
        </w:rPr>
        <w:t>6</w:t>
      </w:r>
      <w:r>
        <w:rPr>
          <w:rFonts w:ascii="Cambria" w:hAnsi="Cambria" w:cstheme="minorHAnsi"/>
          <w:sz w:val="24"/>
          <w:szCs w:val="24"/>
        </w:rPr>
        <w:t xml:space="preserve">. </w:t>
      </w:r>
      <w:r w:rsidR="009757F5">
        <w:rPr>
          <w:rFonts w:ascii="Cambria" w:hAnsi="Cambria" w:cstheme="minorHAnsi"/>
          <w:sz w:val="24"/>
          <w:szCs w:val="24"/>
        </w:rPr>
        <w:t>imamo tri skupine produženog boravka.</w:t>
      </w:r>
      <w:bookmarkStart w:id="3" w:name="_Hlk115172298"/>
    </w:p>
    <w:p w14:paraId="0664A00B" w14:textId="48E67D58" w:rsidR="001E5501" w:rsidRPr="001E5501" w:rsidRDefault="001E5501" w:rsidP="001E5501">
      <w:p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</w:t>
      </w:r>
      <w:r w:rsidRPr="001E5501">
        <w:rPr>
          <w:rFonts w:ascii="Cambria" w:hAnsi="Cambria" w:cstheme="minorHAnsi"/>
          <w:sz w:val="24"/>
          <w:szCs w:val="24"/>
        </w:rPr>
        <w:t>Izvor financiranja: Prihodi za posebne namjene i Pomoći</w:t>
      </w:r>
    </w:p>
    <w:bookmarkEnd w:id="3"/>
    <w:p w14:paraId="5D5C73B3" w14:textId="77777777" w:rsidR="001E5501" w:rsidRPr="001E5501" w:rsidRDefault="001E5501" w:rsidP="001E5501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1E5501">
        <w:rPr>
          <w:rFonts w:ascii="Cambria" w:hAnsi="Cambria" w:cstheme="minorHAnsi"/>
          <w:sz w:val="24"/>
          <w:szCs w:val="24"/>
        </w:rPr>
        <w:t>Pokazatelji uspješnosti:</w:t>
      </w:r>
    </w:p>
    <w:p w14:paraId="3ECF9296" w14:textId="77777777" w:rsidR="001E5501" w:rsidRPr="001E5501" w:rsidRDefault="001E5501" w:rsidP="001E5501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1E5501">
        <w:rPr>
          <w:rFonts w:ascii="Cambria" w:hAnsi="Cambria" w:cstheme="minorHAnsi"/>
          <w:sz w:val="24"/>
          <w:szCs w:val="24"/>
        </w:rPr>
        <w:t>Pokazatelji učinka: Maksimizirati uspjeh, rast i razvoj djeteta</w:t>
      </w:r>
      <w:bookmarkStart w:id="4" w:name="_Hlk115173900"/>
      <w:r w:rsidRPr="001E5501">
        <w:rPr>
          <w:rFonts w:ascii="Cambria" w:hAnsi="Cambria" w:cstheme="minorHAnsi"/>
          <w:sz w:val="24"/>
          <w:szCs w:val="24"/>
        </w:rPr>
        <w:t>.</w:t>
      </w:r>
    </w:p>
    <w:bookmarkEnd w:id="4"/>
    <w:p w14:paraId="6479847E" w14:textId="519F6E94" w:rsidR="0049731A" w:rsidRPr="001E5501" w:rsidRDefault="001E5501" w:rsidP="001E5501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1E5501">
        <w:rPr>
          <w:rFonts w:ascii="Cambria" w:hAnsi="Cambria" w:cstheme="minorHAnsi"/>
          <w:sz w:val="24"/>
          <w:szCs w:val="24"/>
        </w:rPr>
        <w:t>Pokazatelji rezultata: uključivanje 5</w:t>
      </w:r>
      <w:r>
        <w:rPr>
          <w:rFonts w:ascii="Cambria" w:hAnsi="Cambria" w:cstheme="minorHAnsi"/>
          <w:sz w:val="24"/>
          <w:szCs w:val="24"/>
        </w:rPr>
        <w:t>9</w:t>
      </w:r>
      <w:r w:rsidRPr="001E5501">
        <w:rPr>
          <w:rFonts w:ascii="Cambria" w:hAnsi="Cambria" w:cstheme="minorHAnsi"/>
          <w:sz w:val="24"/>
          <w:szCs w:val="24"/>
        </w:rPr>
        <w:t xml:space="preserve"> učenika  1.</w:t>
      </w:r>
      <w:r>
        <w:rPr>
          <w:rFonts w:ascii="Cambria" w:hAnsi="Cambria" w:cstheme="minorHAnsi"/>
          <w:sz w:val="24"/>
          <w:szCs w:val="24"/>
        </w:rPr>
        <w:t xml:space="preserve"> i </w:t>
      </w:r>
      <w:r w:rsidRPr="001E5501">
        <w:rPr>
          <w:rFonts w:ascii="Cambria" w:hAnsi="Cambria" w:cstheme="minorHAnsi"/>
          <w:sz w:val="24"/>
          <w:szCs w:val="24"/>
        </w:rPr>
        <w:t>2. razreda u program produženog boravka u školskoj godini 202</w:t>
      </w:r>
      <w:r>
        <w:rPr>
          <w:rFonts w:ascii="Cambria" w:hAnsi="Cambria" w:cstheme="minorHAnsi"/>
          <w:sz w:val="24"/>
          <w:szCs w:val="24"/>
        </w:rPr>
        <w:t>5</w:t>
      </w:r>
      <w:r w:rsidRPr="001E5501">
        <w:rPr>
          <w:rFonts w:ascii="Cambria" w:hAnsi="Cambria" w:cstheme="minorHAnsi"/>
          <w:sz w:val="24"/>
          <w:szCs w:val="24"/>
        </w:rPr>
        <w:t>./202</w:t>
      </w:r>
      <w:r>
        <w:rPr>
          <w:rFonts w:ascii="Cambria" w:hAnsi="Cambria" w:cstheme="minorHAnsi"/>
          <w:sz w:val="24"/>
          <w:szCs w:val="24"/>
        </w:rPr>
        <w:t>6</w:t>
      </w:r>
      <w:r w:rsidRPr="001E5501">
        <w:rPr>
          <w:rFonts w:ascii="Cambria" w:hAnsi="Cambria" w:cstheme="minorHAnsi"/>
          <w:sz w:val="24"/>
          <w:szCs w:val="24"/>
        </w:rPr>
        <w:t>.</w:t>
      </w:r>
    </w:p>
    <w:p w14:paraId="66095AB6" w14:textId="77777777" w:rsidR="009757F5" w:rsidRDefault="009757F5" w:rsidP="008B0635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</w:p>
    <w:p w14:paraId="458F579D" w14:textId="429A9A86" w:rsidR="007F56AC" w:rsidRDefault="007F56AC" w:rsidP="008B0635">
      <w:pPr>
        <w:pStyle w:val="Odlomakpopisa"/>
        <w:numPr>
          <w:ilvl w:val="0"/>
          <w:numId w:val="3"/>
        </w:num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Tekući projekt T100008 Učeničke zadruge realiziran je u iznosu </w:t>
      </w:r>
      <w:r w:rsidR="00A6523F">
        <w:rPr>
          <w:rFonts w:ascii="Cambria" w:hAnsi="Cambria" w:cstheme="minorHAnsi"/>
          <w:sz w:val="24"/>
          <w:szCs w:val="24"/>
        </w:rPr>
        <w:t>723,4</w:t>
      </w:r>
      <w:r w:rsidR="003C05DE">
        <w:rPr>
          <w:rFonts w:ascii="Cambria" w:hAnsi="Cambria" w:cstheme="minorHAnsi"/>
          <w:sz w:val="24"/>
          <w:szCs w:val="24"/>
        </w:rPr>
        <w:t>0</w:t>
      </w:r>
      <w:r>
        <w:rPr>
          <w:rFonts w:ascii="Cambria" w:hAnsi="Cambria" w:cstheme="minorHAnsi"/>
          <w:sz w:val="24"/>
          <w:szCs w:val="24"/>
        </w:rPr>
        <w:t xml:space="preserve"> € što je </w:t>
      </w:r>
      <w:r w:rsidR="00A6523F">
        <w:rPr>
          <w:rFonts w:ascii="Cambria" w:hAnsi="Cambria" w:cstheme="minorHAnsi"/>
          <w:sz w:val="24"/>
          <w:szCs w:val="24"/>
        </w:rPr>
        <w:t xml:space="preserve">90,43 </w:t>
      </w:r>
      <w:r>
        <w:rPr>
          <w:rFonts w:ascii="Cambria" w:hAnsi="Cambria" w:cstheme="minorHAnsi"/>
          <w:sz w:val="24"/>
          <w:szCs w:val="24"/>
        </w:rPr>
        <w:t>% u odnosu na planirano.</w:t>
      </w:r>
    </w:p>
    <w:p w14:paraId="3907D5CB" w14:textId="77777777" w:rsidR="001E5501" w:rsidRPr="001E5501" w:rsidRDefault="001E5501" w:rsidP="001E5501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1E5501">
        <w:rPr>
          <w:rFonts w:ascii="Cambria" w:hAnsi="Cambria" w:cstheme="minorHAnsi"/>
          <w:sz w:val="24"/>
          <w:szCs w:val="24"/>
        </w:rPr>
        <w:t>Izvor financiranja: Prihodi za posebne namjene</w:t>
      </w:r>
    </w:p>
    <w:p w14:paraId="7CA19E7D" w14:textId="77777777" w:rsidR="001E5501" w:rsidRPr="001E5501" w:rsidRDefault="001E5501" w:rsidP="001E5501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1E5501">
        <w:rPr>
          <w:rFonts w:ascii="Cambria" w:hAnsi="Cambria" w:cstheme="minorHAnsi"/>
          <w:sz w:val="24"/>
          <w:szCs w:val="24"/>
        </w:rPr>
        <w:lastRenderedPageBreak/>
        <w:t>Pokazatelji uspješnosti:</w:t>
      </w:r>
    </w:p>
    <w:p w14:paraId="5F4A2821" w14:textId="77777777" w:rsidR="001E5501" w:rsidRPr="001E5501" w:rsidRDefault="001E5501" w:rsidP="001E5501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1E5501">
        <w:rPr>
          <w:rFonts w:ascii="Cambria" w:hAnsi="Cambria" w:cstheme="minorHAnsi"/>
          <w:sz w:val="24"/>
          <w:szCs w:val="24"/>
        </w:rPr>
        <w:t>Pokazatelji učinka: poboljšanje rada i uspješnost učeničke zadruge, razvoj međunarodne suradnje , poticanje razvoja inovativnosti i vještina učenika, stvaranje poduzetničkog duha, razvijanje inovativnosti, usvajanje novih znanja i iskustva</w:t>
      </w:r>
    </w:p>
    <w:p w14:paraId="6DBB7BD9" w14:textId="3AF26A9B" w:rsidR="001E5501" w:rsidRDefault="001E5501" w:rsidP="001E5501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1E5501">
        <w:rPr>
          <w:rFonts w:ascii="Cambria" w:hAnsi="Cambria" w:cstheme="minorHAnsi"/>
          <w:sz w:val="24"/>
          <w:szCs w:val="24"/>
        </w:rPr>
        <w:t>Pokazatelji rezultata: povezanost  učenička zadruge „Flora „ sa zadrugama Zagrebačke županije i zadrugama diljem Hrvatske, razvijanje zajedništva i društvenog života.</w:t>
      </w:r>
    </w:p>
    <w:p w14:paraId="0B39138C" w14:textId="77777777" w:rsidR="007F56AC" w:rsidRDefault="007F56AC" w:rsidP="008B0635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</w:p>
    <w:p w14:paraId="0F5A2314" w14:textId="2BAD9BC3" w:rsidR="007F56AC" w:rsidRDefault="007F56AC" w:rsidP="008B0635">
      <w:pPr>
        <w:pStyle w:val="Odlomakpopisa"/>
        <w:numPr>
          <w:ilvl w:val="0"/>
          <w:numId w:val="3"/>
        </w:num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Tekući projekt T100012 Oprema škole realiziran je u iznosu </w:t>
      </w:r>
      <w:r w:rsidR="00A6523F">
        <w:rPr>
          <w:rFonts w:ascii="Cambria" w:hAnsi="Cambria" w:cstheme="minorHAnsi"/>
          <w:sz w:val="24"/>
          <w:szCs w:val="24"/>
        </w:rPr>
        <w:t>7.620,37</w:t>
      </w:r>
      <w:r>
        <w:rPr>
          <w:rFonts w:ascii="Cambria" w:hAnsi="Cambria" w:cstheme="minorHAnsi"/>
          <w:sz w:val="24"/>
          <w:szCs w:val="24"/>
        </w:rPr>
        <w:t xml:space="preserve"> € što je </w:t>
      </w:r>
      <w:r w:rsidR="00307545">
        <w:rPr>
          <w:rFonts w:ascii="Cambria" w:hAnsi="Cambria" w:cstheme="minorHAnsi"/>
          <w:sz w:val="24"/>
          <w:szCs w:val="24"/>
        </w:rPr>
        <w:t xml:space="preserve">za </w:t>
      </w:r>
      <w:r w:rsidR="00A6523F">
        <w:rPr>
          <w:rFonts w:ascii="Cambria" w:hAnsi="Cambria" w:cstheme="minorHAnsi"/>
          <w:sz w:val="24"/>
          <w:szCs w:val="24"/>
        </w:rPr>
        <w:t>43,78</w:t>
      </w:r>
      <w:r>
        <w:rPr>
          <w:rFonts w:ascii="Cambria" w:hAnsi="Cambria" w:cstheme="minorHAnsi"/>
          <w:sz w:val="24"/>
          <w:szCs w:val="24"/>
        </w:rPr>
        <w:t xml:space="preserve"> %</w:t>
      </w:r>
      <w:r w:rsidR="00307545">
        <w:rPr>
          <w:rFonts w:ascii="Cambria" w:hAnsi="Cambria" w:cstheme="minorHAnsi"/>
          <w:sz w:val="24"/>
          <w:szCs w:val="24"/>
        </w:rPr>
        <w:t xml:space="preserve"> više od </w:t>
      </w:r>
      <w:r>
        <w:rPr>
          <w:rFonts w:ascii="Cambria" w:hAnsi="Cambria" w:cstheme="minorHAnsi"/>
          <w:sz w:val="24"/>
          <w:szCs w:val="24"/>
        </w:rPr>
        <w:t xml:space="preserve"> planiranog.</w:t>
      </w:r>
    </w:p>
    <w:p w14:paraId="56E003A4" w14:textId="77777777" w:rsidR="00B67BFF" w:rsidRPr="00B67BFF" w:rsidRDefault="00B67BFF" w:rsidP="00B67BFF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B67BFF">
        <w:rPr>
          <w:rFonts w:ascii="Cambria" w:hAnsi="Cambria" w:cstheme="minorHAnsi"/>
          <w:sz w:val="24"/>
          <w:szCs w:val="24"/>
        </w:rPr>
        <w:t>Izvor financiranja: Vlastiti prihodi,  Prihodi za posebne namjene,  Pomoći i Donacije</w:t>
      </w:r>
    </w:p>
    <w:p w14:paraId="6AF8980C" w14:textId="77777777" w:rsidR="00B67BFF" w:rsidRPr="00B67BFF" w:rsidRDefault="00B67BFF" w:rsidP="00B67BFF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B67BFF">
        <w:rPr>
          <w:rFonts w:ascii="Cambria" w:hAnsi="Cambria" w:cstheme="minorHAnsi"/>
          <w:sz w:val="24"/>
          <w:szCs w:val="24"/>
        </w:rPr>
        <w:t>Pokazatelji uspješnosti:</w:t>
      </w:r>
    </w:p>
    <w:p w14:paraId="5DEDECA8" w14:textId="77777777" w:rsidR="00B67BFF" w:rsidRPr="00B67BFF" w:rsidRDefault="00B67BFF" w:rsidP="00B67BFF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B67BFF">
        <w:rPr>
          <w:rFonts w:ascii="Cambria" w:hAnsi="Cambria" w:cstheme="minorHAnsi"/>
          <w:sz w:val="24"/>
          <w:szCs w:val="24"/>
        </w:rPr>
        <w:t xml:space="preserve">Pokazatelji učinka: poboljšanje kvalitete izvođenja nastave. </w:t>
      </w:r>
    </w:p>
    <w:p w14:paraId="7E8F645C" w14:textId="0B9CE33E" w:rsidR="00B67BFF" w:rsidRDefault="00B67BFF" w:rsidP="00B67BFF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B67BFF">
        <w:rPr>
          <w:rFonts w:ascii="Cambria" w:hAnsi="Cambria" w:cstheme="minorHAnsi"/>
          <w:sz w:val="24"/>
          <w:szCs w:val="24"/>
        </w:rPr>
        <w:t>Pokazatelji rezultata: ulaganja u školske objekte sukladno pedagoškom standardu i potrebama škola.</w:t>
      </w:r>
    </w:p>
    <w:p w14:paraId="69FDE269" w14:textId="77777777" w:rsidR="007F56AC" w:rsidRDefault="007F56AC" w:rsidP="008B0635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</w:p>
    <w:p w14:paraId="64682B28" w14:textId="3E835587" w:rsidR="007F56AC" w:rsidRDefault="007F56AC" w:rsidP="008B0635">
      <w:pPr>
        <w:pStyle w:val="Odlomakpopisa"/>
        <w:numPr>
          <w:ilvl w:val="0"/>
          <w:numId w:val="3"/>
        </w:num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Tekući projekt T100020 Nabava udžbenika za učenike</w:t>
      </w:r>
      <w:r w:rsidR="00411CCE">
        <w:rPr>
          <w:rFonts w:ascii="Cambria" w:hAnsi="Cambria" w:cstheme="minorHAnsi"/>
          <w:sz w:val="24"/>
          <w:szCs w:val="24"/>
        </w:rPr>
        <w:t xml:space="preserve"> izvršen</w:t>
      </w:r>
      <w:r>
        <w:rPr>
          <w:rFonts w:ascii="Cambria" w:hAnsi="Cambria" w:cstheme="minorHAnsi"/>
          <w:sz w:val="24"/>
          <w:szCs w:val="24"/>
        </w:rPr>
        <w:t xml:space="preserve"> je u iznosu  </w:t>
      </w:r>
      <w:r w:rsidR="001638B6">
        <w:rPr>
          <w:rFonts w:ascii="Cambria" w:hAnsi="Cambria" w:cstheme="minorHAnsi"/>
          <w:sz w:val="24"/>
          <w:szCs w:val="24"/>
        </w:rPr>
        <w:t>8</w:t>
      </w:r>
      <w:r w:rsidR="00A6523F">
        <w:rPr>
          <w:rFonts w:ascii="Cambria" w:hAnsi="Cambria" w:cstheme="minorHAnsi"/>
          <w:sz w:val="24"/>
          <w:szCs w:val="24"/>
        </w:rPr>
        <w:t>8.872,14</w:t>
      </w:r>
      <w:r>
        <w:rPr>
          <w:rFonts w:ascii="Cambria" w:hAnsi="Cambria" w:cstheme="minorHAnsi"/>
          <w:sz w:val="24"/>
          <w:szCs w:val="24"/>
        </w:rPr>
        <w:t xml:space="preserve"> €. Realizacija iznosi </w:t>
      </w:r>
      <w:r w:rsidR="00A6523F">
        <w:rPr>
          <w:rFonts w:ascii="Cambria" w:hAnsi="Cambria" w:cstheme="minorHAnsi"/>
          <w:sz w:val="24"/>
          <w:szCs w:val="24"/>
        </w:rPr>
        <w:t>98,75</w:t>
      </w:r>
      <w:r>
        <w:rPr>
          <w:rFonts w:ascii="Cambria" w:hAnsi="Cambria" w:cstheme="minorHAnsi"/>
          <w:sz w:val="24"/>
          <w:szCs w:val="24"/>
        </w:rPr>
        <w:t>%</w:t>
      </w:r>
      <w:r w:rsidR="001638B6">
        <w:rPr>
          <w:rFonts w:ascii="Cambria" w:hAnsi="Cambria" w:cstheme="minorHAnsi"/>
          <w:sz w:val="24"/>
          <w:szCs w:val="24"/>
        </w:rPr>
        <w:t xml:space="preserve">  u odnosu na planirano</w:t>
      </w:r>
      <w:r>
        <w:rPr>
          <w:rFonts w:ascii="Cambria" w:hAnsi="Cambria" w:cstheme="minorHAnsi"/>
          <w:sz w:val="24"/>
          <w:szCs w:val="24"/>
        </w:rPr>
        <w:t>.</w:t>
      </w:r>
    </w:p>
    <w:p w14:paraId="19DD5D68" w14:textId="77777777" w:rsidR="00B67BFF" w:rsidRPr="00B67BFF" w:rsidRDefault="00B67BFF" w:rsidP="00B67BFF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B67BFF">
        <w:rPr>
          <w:rFonts w:ascii="Cambria" w:hAnsi="Cambria" w:cstheme="minorHAnsi"/>
          <w:sz w:val="24"/>
          <w:szCs w:val="24"/>
        </w:rPr>
        <w:t>Izvor financiranja: Pomoći</w:t>
      </w:r>
    </w:p>
    <w:p w14:paraId="5C55169A" w14:textId="77777777" w:rsidR="00B67BFF" w:rsidRPr="00B67BFF" w:rsidRDefault="00B67BFF" w:rsidP="00B67BFF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B67BFF">
        <w:rPr>
          <w:rFonts w:ascii="Cambria" w:hAnsi="Cambria" w:cstheme="minorHAnsi"/>
          <w:sz w:val="24"/>
          <w:szCs w:val="24"/>
        </w:rPr>
        <w:t>Pokazatelji uspješnosti:</w:t>
      </w:r>
    </w:p>
    <w:p w14:paraId="4750F826" w14:textId="77777777" w:rsidR="00B67BFF" w:rsidRPr="00B67BFF" w:rsidRDefault="00B67BFF" w:rsidP="00B67BFF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B67BFF">
        <w:rPr>
          <w:rFonts w:ascii="Cambria" w:hAnsi="Cambria" w:cstheme="minorHAnsi"/>
          <w:sz w:val="24"/>
          <w:szCs w:val="24"/>
        </w:rPr>
        <w:t xml:space="preserve">Pokazatelji učinka: Uspješno provedena nabava i osigurani udžbenici i radne bilježnice </w:t>
      </w:r>
    </w:p>
    <w:p w14:paraId="515682BF" w14:textId="45F7D985" w:rsidR="00B67BFF" w:rsidRDefault="00B67BFF" w:rsidP="00B67BFF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B67BFF">
        <w:rPr>
          <w:rFonts w:ascii="Cambria" w:hAnsi="Cambria" w:cstheme="minorHAnsi"/>
          <w:sz w:val="24"/>
          <w:szCs w:val="24"/>
        </w:rPr>
        <w:t>Pokazatelji rezultata: Nabava udžbenika i radnih bilježnica za obvezne i izborne predmete za 5</w:t>
      </w:r>
      <w:r>
        <w:rPr>
          <w:rFonts w:ascii="Cambria" w:hAnsi="Cambria" w:cstheme="minorHAnsi"/>
          <w:sz w:val="24"/>
          <w:szCs w:val="24"/>
        </w:rPr>
        <w:t>73</w:t>
      </w:r>
      <w:r w:rsidRPr="00B67BFF">
        <w:rPr>
          <w:rFonts w:ascii="Cambria" w:hAnsi="Cambria" w:cstheme="minorHAnsi"/>
          <w:sz w:val="24"/>
          <w:szCs w:val="24"/>
        </w:rPr>
        <w:t xml:space="preserve"> učenika.</w:t>
      </w:r>
    </w:p>
    <w:p w14:paraId="0E6F23FB" w14:textId="77777777" w:rsidR="00EC4EA9" w:rsidRDefault="00EC4EA9" w:rsidP="00B67BFF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</w:p>
    <w:p w14:paraId="4EF863EC" w14:textId="77777777" w:rsidR="00EC4EA9" w:rsidRPr="00EC4EA9" w:rsidRDefault="00EC4EA9" w:rsidP="00EC4EA9">
      <w:pPr>
        <w:pStyle w:val="Odlomakpopisa"/>
        <w:numPr>
          <w:ilvl w:val="0"/>
          <w:numId w:val="3"/>
        </w:numPr>
        <w:spacing w:line="276" w:lineRule="auto"/>
        <w:rPr>
          <w:rFonts w:ascii="Cambria" w:hAnsi="Cambria" w:cstheme="minorHAnsi"/>
          <w:sz w:val="24"/>
          <w:szCs w:val="24"/>
        </w:rPr>
      </w:pPr>
      <w:r w:rsidRPr="00EC4EA9">
        <w:rPr>
          <w:rFonts w:ascii="Cambria" w:hAnsi="Cambria" w:cstheme="minorHAnsi"/>
          <w:sz w:val="24"/>
          <w:szCs w:val="24"/>
        </w:rPr>
        <w:t xml:space="preserve">Tekući projekt T100019 Prijevoz učenika s teškoćama izvršen je u iznosu 12.155,83 €, a to je 90,04 % u odnosu na planirano. </w:t>
      </w:r>
    </w:p>
    <w:p w14:paraId="2A1E2715" w14:textId="781490CF" w:rsidR="00EC4EA9" w:rsidRPr="00EC4EA9" w:rsidRDefault="00EC4EA9" w:rsidP="00EC4EA9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EC4EA9">
        <w:rPr>
          <w:rFonts w:ascii="Cambria" w:hAnsi="Cambria" w:cstheme="minorHAnsi"/>
          <w:sz w:val="24"/>
          <w:szCs w:val="24"/>
        </w:rPr>
        <w:t>Izvor financiranja: Pomoći</w:t>
      </w:r>
    </w:p>
    <w:p w14:paraId="61CE1C01" w14:textId="77777777" w:rsidR="00EC4EA9" w:rsidRPr="00EC4EA9" w:rsidRDefault="00EC4EA9" w:rsidP="00EC4EA9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EC4EA9">
        <w:rPr>
          <w:rFonts w:ascii="Cambria" w:hAnsi="Cambria" w:cstheme="minorHAnsi"/>
          <w:sz w:val="24"/>
          <w:szCs w:val="24"/>
        </w:rPr>
        <w:t>Pokazatelji uspješnosti:</w:t>
      </w:r>
    </w:p>
    <w:p w14:paraId="71EE2101" w14:textId="039B7102" w:rsidR="00EC4EA9" w:rsidRPr="00EC4EA9" w:rsidRDefault="00EC4EA9" w:rsidP="00EC4EA9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EC4EA9">
        <w:rPr>
          <w:rFonts w:ascii="Cambria" w:hAnsi="Cambria" w:cstheme="minorHAnsi"/>
          <w:sz w:val="24"/>
          <w:szCs w:val="24"/>
        </w:rPr>
        <w:t>Pokazatelji učinka: omogućiti dolazak u školu i odlazak iz škole za učenike s teškoćama koji nisu u mogućnosti putovati organiziranim školskim prijevozom. Pokazatelji rezultata: Posebni razredni odjel koji ima ukupno 4 učenika iz 1. i 3. razreda.</w:t>
      </w:r>
    </w:p>
    <w:p w14:paraId="0B4C8CA7" w14:textId="77777777" w:rsidR="007F56AC" w:rsidRDefault="007F56AC" w:rsidP="00EC4EA9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4168F974" w14:textId="2ECFCC19" w:rsidR="007F56AC" w:rsidRDefault="007F56AC" w:rsidP="008B0635">
      <w:pPr>
        <w:pStyle w:val="Odlomakpopisa"/>
        <w:numPr>
          <w:ilvl w:val="0"/>
          <w:numId w:val="3"/>
        </w:num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Tekući projekt T100027 Opskrba besplatnim zalihama menstrualnim higijenskim potrepštinama</w:t>
      </w:r>
      <w:r w:rsidR="009C640D">
        <w:rPr>
          <w:rFonts w:ascii="Cambria" w:hAnsi="Cambria" w:cstheme="minorHAnsi"/>
          <w:sz w:val="24"/>
          <w:szCs w:val="24"/>
        </w:rPr>
        <w:t xml:space="preserve"> realiziran je  u iznosu 1.3</w:t>
      </w:r>
      <w:r w:rsidR="00286968">
        <w:rPr>
          <w:rFonts w:ascii="Cambria" w:hAnsi="Cambria" w:cstheme="minorHAnsi"/>
          <w:sz w:val="24"/>
          <w:szCs w:val="24"/>
        </w:rPr>
        <w:t>26,85</w:t>
      </w:r>
      <w:r w:rsidR="001638B6">
        <w:rPr>
          <w:rFonts w:ascii="Cambria" w:hAnsi="Cambria" w:cstheme="minorHAnsi"/>
          <w:sz w:val="24"/>
          <w:szCs w:val="24"/>
        </w:rPr>
        <w:t xml:space="preserve"> </w:t>
      </w:r>
      <w:r w:rsidR="009C640D">
        <w:rPr>
          <w:rFonts w:ascii="Cambria" w:hAnsi="Cambria" w:cstheme="minorHAnsi"/>
          <w:sz w:val="24"/>
          <w:szCs w:val="24"/>
        </w:rPr>
        <w:t xml:space="preserve">€. </w:t>
      </w:r>
    </w:p>
    <w:p w14:paraId="1790AE9D" w14:textId="77777777" w:rsidR="00831DAD" w:rsidRPr="00831DAD" w:rsidRDefault="00831DAD" w:rsidP="00831DAD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831DAD">
        <w:rPr>
          <w:rFonts w:ascii="Cambria" w:hAnsi="Cambria" w:cstheme="minorHAnsi"/>
          <w:sz w:val="24"/>
          <w:szCs w:val="24"/>
        </w:rPr>
        <w:t>Izvor financiranja: Pomoći</w:t>
      </w:r>
    </w:p>
    <w:p w14:paraId="248774A2" w14:textId="77777777" w:rsidR="00831DAD" w:rsidRPr="00831DAD" w:rsidRDefault="00831DAD" w:rsidP="00831DAD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831DAD">
        <w:rPr>
          <w:rFonts w:ascii="Cambria" w:hAnsi="Cambria" w:cstheme="minorHAnsi"/>
          <w:sz w:val="24"/>
          <w:szCs w:val="24"/>
        </w:rPr>
        <w:t>Pokazatelji uspješnosti:</w:t>
      </w:r>
    </w:p>
    <w:p w14:paraId="7B923C25" w14:textId="068C2C67" w:rsidR="00831DAD" w:rsidRPr="00831DAD" w:rsidRDefault="00831DAD" w:rsidP="00831DAD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831DAD">
        <w:rPr>
          <w:rFonts w:ascii="Cambria" w:hAnsi="Cambria" w:cstheme="minorHAnsi"/>
          <w:sz w:val="24"/>
          <w:szCs w:val="24"/>
        </w:rPr>
        <w:t>Pokazatelji učinka: Uspješna nabava higijenskih potrepština u iznosu 1.3</w:t>
      </w:r>
      <w:r w:rsidR="00286968">
        <w:rPr>
          <w:rFonts w:ascii="Cambria" w:hAnsi="Cambria" w:cstheme="minorHAnsi"/>
          <w:sz w:val="24"/>
          <w:szCs w:val="24"/>
        </w:rPr>
        <w:t>26,85</w:t>
      </w:r>
      <w:r w:rsidRPr="00831DAD">
        <w:rPr>
          <w:rFonts w:ascii="Cambria" w:hAnsi="Cambria" w:cstheme="minorHAnsi"/>
          <w:sz w:val="24"/>
          <w:szCs w:val="24"/>
        </w:rPr>
        <w:t xml:space="preserve"> €.</w:t>
      </w:r>
    </w:p>
    <w:p w14:paraId="163E069B" w14:textId="1626470E" w:rsidR="00EC4EA9" w:rsidRDefault="00831DAD" w:rsidP="00EC4EA9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 w:rsidRPr="00831DAD">
        <w:rPr>
          <w:rFonts w:ascii="Cambria" w:hAnsi="Cambria" w:cstheme="minorHAnsi"/>
          <w:sz w:val="24"/>
          <w:szCs w:val="24"/>
        </w:rPr>
        <w:t>Pokazatelji rezultata: Opskrba zalihama menstrualnim higijenskim potrepštinama za 29</w:t>
      </w:r>
      <w:r w:rsidR="00286968">
        <w:rPr>
          <w:rFonts w:ascii="Cambria" w:hAnsi="Cambria" w:cstheme="minorHAnsi"/>
          <w:sz w:val="24"/>
          <w:szCs w:val="24"/>
        </w:rPr>
        <w:t>5</w:t>
      </w:r>
      <w:r w:rsidRPr="00831DAD">
        <w:rPr>
          <w:rFonts w:ascii="Cambria" w:hAnsi="Cambria" w:cstheme="minorHAnsi"/>
          <w:sz w:val="24"/>
          <w:szCs w:val="24"/>
        </w:rPr>
        <w:t xml:space="preserve"> učenice od 1. do 8. razreda u 202</w:t>
      </w:r>
      <w:r w:rsidR="00EC4EA9">
        <w:rPr>
          <w:rFonts w:ascii="Cambria" w:hAnsi="Cambria" w:cstheme="minorHAnsi"/>
          <w:sz w:val="24"/>
          <w:szCs w:val="24"/>
        </w:rPr>
        <w:t>5</w:t>
      </w:r>
      <w:r w:rsidRPr="00831DAD">
        <w:rPr>
          <w:rFonts w:ascii="Cambria" w:hAnsi="Cambria" w:cstheme="minorHAnsi"/>
          <w:sz w:val="24"/>
          <w:szCs w:val="24"/>
        </w:rPr>
        <w:t>. godini.</w:t>
      </w:r>
    </w:p>
    <w:p w14:paraId="4003704C" w14:textId="20EAD3B5" w:rsidR="00F71AB4" w:rsidRDefault="00EC4EA9" w:rsidP="00EC4EA9">
      <w:pPr>
        <w:pStyle w:val="Odlomakpopisa"/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lastRenderedPageBreak/>
        <w:t xml:space="preserve">                                                      </w:t>
      </w:r>
      <w:r w:rsidR="00001305">
        <w:rPr>
          <w:rFonts w:ascii="Cambria" w:hAnsi="Cambria" w:cstheme="minorHAnsi"/>
          <w:sz w:val="24"/>
          <w:szCs w:val="24"/>
        </w:rPr>
        <w:t>POSEBNI IZVJEŠTAJI</w:t>
      </w:r>
    </w:p>
    <w:p w14:paraId="1DDF1231" w14:textId="0021F9B3" w:rsidR="00001305" w:rsidRDefault="00001305" w:rsidP="008B0635">
      <w:pPr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3274F4C3" w14:textId="630FD299" w:rsidR="007051C1" w:rsidRDefault="007051C1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Temeljem čl. 85. Zakona o proračunu obveza proračunskog korisnika je dati slijedeće posebne izvještaje:</w:t>
      </w:r>
    </w:p>
    <w:p w14:paraId="710F1A8F" w14:textId="77777777" w:rsidR="007051C1" w:rsidRDefault="007051C1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5EF7ED26" w14:textId="2248C6AB" w:rsidR="00F71AB4" w:rsidRDefault="00921FB1" w:rsidP="008B0635">
      <w:pPr>
        <w:spacing w:line="276" w:lineRule="auto"/>
        <w:jc w:val="center"/>
        <w:rPr>
          <w:rStyle w:val="pt-zadanifontodlomka-000009"/>
          <w:rFonts w:ascii="Cambria" w:hAnsi="Cambria"/>
          <w:i/>
          <w:iCs/>
          <w:sz w:val="24"/>
          <w:szCs w:val="24"/>
        </w:rPr>
      </w:pPr>
      <w:bookmarkStart w:id="5" w:name="_Hlk160794698"/>
      <w:r w:rsidRPr="006E16FC">
        <w:rPr>
          <w:rStyle w:val="pt-zadanifontodlomka-000009"/>
          <w:rFonts w:ascii="Cambria" w:hAnsi="Cambria"/>
          <w:i/>
          <w:iCs/>
          <w:sz w:val="24"/>
          <w:szCs w:val="24"/>
        </w:rPr>
        <w:t>Izvještaj o zaduživanju na domaćem i stranom tržištu novca i kapitala</w:t>
      </w:r>
    </w:p>
    <w:p w14:paraId="5CFA4EA2" w14:textId="77777777" w:rsidR="005E0503" w:rsidRPr="006E16FC" w:rsidRDefault="005E0503" w:rsidP="008B0635">
      <w:pPr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bookmarkEnd w:id="5"/>
    <w:p w14:paraId="6851A6F7" w14:textId="77777777" w:rsidR="00F71AB4" w:rsidRDefault="00F71AB4" w:rsidP="008B0635">
      <w:pPr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0D17BAE9" w14:textId="30D5498F" w:rsidR="003160E4" w:rsidRDefault="007051C1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Osnovna škola „Stjepan Radić“</w:t>
      </w:r>
      <w:r w:rsidR="006E16FC">
        <w:rPr>
          <w:rFonts w:ascii="Cambria" w:hAnsi="Cambria" w:cstheme="minorHAnsi"/>
          <w:sz w:val="24"/>
          <w:szCs w:val="24"/>
        </w:rPr>
        <w:t xml:space="preserve"> u izvještajnom razdoblju nije se zaduživala na domaćem i stranom tržištu novca i kapitala.</w:t>
      </w:r>
    </w:p>
    <w:p w14:paraId="6D76E982" w14:textId="77777777" w:rsidR="001C3D84" w:rsidRDefault="001C3D84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1AC21628" w14:textId="77777777" w:rsidR="00910437" w:rsidRPr="00910437" w:rsidRDefault="00910437" w:rsidP="008B0635">
      <w:pPr>
        <w:spacing w:line="276" w:lineRule="auto"/>
      </w:pPr>
    </w:p>
    <w:p w14:paraId="49CC39A3" w14:textId="0862007F" w:rsidR="00001305" w:rsidRDefault="00001305" w:rsidP="008B0635">
      <w:pPr>
        <w:spacing w:line="276" w:lineRule="auto"/>
        <w:jc w:val="center"/>
        <w:rPr>
          <w:rStyle w:val="pt-zadanifontodlomka-000009"/>
          <w:rFonts w:ascii="Cambria" w:hAnsi="Cambria"/>
          <w:i/>
          <w:iCs/>
          <w:sz w:val="24"/>
          <w:szCs w:val="24"/>
        </w:rPr>
      </w:pPr>
      <w:r w:rsidRPr="006E16FC">
        <w:rPr>
          <w:rStyle w:val="pt-zadanifontodlomka-000009"/>
          <w:rFonts w:ascii="Cambria" w:hAnsi="Cambria"/>
          <w:i/>
          <w:iCs/>
          <w:sz w:val="24"/>
          <w:szCs w:val="24"/>
        </w:rPr>
        <w:t xml:space="preserve">Izvještaj o </w:t>
      </w:r>
      <w:r>
        <w:rPr>
          <w:rStyle w:val="pt-zadanifontodlomka-000009"/>
          <w:rFonts w:ascii="Cambria" w:hAnsi="Cambria"/>
          <w:i/>
          <w:iCs/>
          <w:sz w:val="24"/>
          <w:szCs w:val="24"/>
        </w:rPr>
        <w:t>korištenju sredstava fondova Europske unije</w:t>
      </w:r>
    </w:p>
    <w:p w14:paraId="3ACC08CB" w14:textId="77777777" w:rsidR="00001305" w:rsidRDefault="00001305" w:rsidP="008B0635">
      <w:pPr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0DB4C4C2" w14:textId="2D3C92FA" w:rsidR="00001305" w:rsidRDefault="007051C1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Osnovna škola „Stjepan Radić“ </w:t>
      </w:r>
      <w:r w:rsidR="00B9105B">
        <w:rPr>
          <w:rFonts w:ascii="Cambria" w:hAnsi="Cambria" w:cstheme="minorHAnsi"/>
          <w:sz w:val="24"/>
          <w:szCs w:val="24"/>
        </w:rPr>
        <w:t xml:space="preserve">je </w:t>
      </w:r>
      <w:r w:rsidR="00001305">
        <w:rPr>
          <w:rFonts w:ascii="Cambria" w:hAnsi="Cambria" w:cstheme="minorHAnsi"/>
          <w:sz w:val="24"/>
          <w:szCs w:val="24"/>
        </w:rPr>
        <w:t>u izvještajnom razdoblju</w:t>
      </w:r>
      <w:r w:rsidR="00B9105B">
        <w:rPr>
          <w:rFonts w:ascii="Cambria" w:hAnsi="Cambria" w:cstheme="minorHAnsi"/>
          <w:sz w:val="24"/>
          <w:szCs w:val="24"/>
        </w:rPr>
        <w:t xml:space="preserve"> </w:t>
      </w:r>
      <w:r w:rsidR="00B9105B" w:rsidRPr="00B9105B">
        <w:rPr>
          <w:rFonts w:ascii="Cambria" w:hAnsi="Cambria" w:cstheme="minorHAnsi"/>
          <w:sz w:val="24"/>
          <w:szCs w:val="24"/>
        </w:rPr>
        <w:t>koristila sredstva iz Izvora 561 – Europski socijalni fond plus za provedbu projekta „Prsten potpore</w:t>
      </w:r>
      <w:r w:rsidR="00B9105B">
        <w:rPr>
          <w:rFonts w:ascii="Cambria" w:hAnsi="Cambria" w:cstheme="minorHAnsi"/>
          <w:sz w:val="24"/>
          <w:szCs w:val="24"/>
        </w:rPr>
        <w:t>“</w:t>
      </w:r>
      <w:r w:rsidR="00B9105B" w:rsidRPr="00B9105B">
        <w:rPr>
          <w:rFonts w:ascii="Cambria" w:hAnsi="Cambria" w:cstheme="minorHAnsi"/>
          <w:sz w:val="24"/>
          <w:szCs w:val="24"/>
        </w:rPr>
        <w:t xml:space="preserve"> za osiguranje pomoćnika u nastavi u ukupnom iznosu od 49.643,84 eura.</w:t>
      </w:r>
    </w:p>
    <w:p w14:paraId="3430EC8C" w14:textId="77777777" w:rsidR="001C3D84" w:rsidRDefault="001C3D84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2B264B3F" w14:textId="0C4DACE0" w:rsidR="00001305" w:rsidRDefault="00001305" w:rsidP="008B0635">
      <w:pPr>
        <w:spacing w:line="276" w:lineRule="auto"/>
        <w:jc w:val="center"/>
        <w:rPr>
          <w:rStyle w:val="pt-zadanifontodlomka-000009"/>
          <w:rFonts w:ascii="Cambria" w:hAnsi="Cambria"/>
          <w:i/>
          <w:iCs/>
          <w:sz w:val="24"/>
          <w:szCs w:val="24"/>
        </w:rPr>
      </w:pPr>
      <w:r w:rsidRPr="006E16FC">
        <w:rPr>
          <w:rStyle w:val="pt-zadanifontodlomka-000009"/>
          <w:rFonts w:ascii="Cambria" w:hAnsi="Cambria"/>
          <w:i/>
          <w:iCs/>
          <w:sz w:val="24"/>
          <w:szCs w:val="24"/>
        </w:rPr>
        <w:t xml:space="preserve">Izvještaj o </w:t>
      </w:r>
      <w:r>
        <w:rPr>
          <w:rStyle w:val="pt-zadanifontodlomka-000009"/>
          <w:rFonts w:ascii="Cambria" w:hAnsi="Cambria"/>
          <w:i/>
          <w:iCs/>
          <w:sz w:val="24"/>
          <w:szCs w:val="24"/>
        </w:rPr>
        <w:t>danim zajmovima i potraživanjima po danim zajmovima</w:t>
      </w:r>
    </w:p>
    <w:p w14:paraId="0F8C68F1" w14:textId="77777777" w:rsidR="001C3D84" w:rsidRDefault="001C3D84" w:rsidP="008B0635">
      <w:pPr>
        <w:spacing w:line="276" w:lineRule="auto"/>
        <w:jc w:val="center"/>
        <w:rPr>
          <w:rStyle w:val="pt-zadanifontodlomka-000009"/>
          <w:rFonts w:ascii="Cambria" w:hAnsi="Cambria"/>
          <w:i/>
          <w:iCs/>
          <w:sz w:val="24"/>
          <w:szCs w:val="24"/>
        </w:rPr>
      </w:pPr>
    </w:p>
    <w:p w14:paraId="77216CF3" w14:textId="34D2B46E" w:rsidR="00001305" w:rsidRPr="006E16FC" w:rsidRDefault="007051C1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Osnovna škola „Stjepan Radić“</w:t>
      </w:r>
      <w:r w:rsidR="001C3D84">
        <w:rPr>
          <w:rFonts w:ascii="Cambria" w:hAnsi="Cambria" w:cstheme="minorHAnsi"/>
          <w:sz w:val="24"/>
          <w:szCs w:val="24"/>
        </w:rPr>
        <w:t xml:space="preserve"> u izvještajnom razdoblju nema obveze i potraživanja po zajmovima.</w:t>
      </w:r>
    </w:p>
    <w:p w14:paraId="2DD51370" w14:textId="77777777" w:rsidR="00910437" w:rsidRDefault="00910437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27CE5D5E" w14:textId="77777777" w:rsidR="001C3D84" w:rsidRPr="007402BB" w:rsidRDefault="001C3D84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1BFF2C0D" w14:textId="3B25E810" w:rsidR="00001305" w:rsidRDefault="00001305" w:rsidP="000B625D">
      <w:pPr>
        <w:spacing w:line="276" w:lineRule="auto"/>
        <w:jc w:val="center"/>
        <w:rPr>
          <w:rStyle w:val="pt-zadanifontodlomka-000009"/>
          <w:rFonts w:ascii="Cambria" w:hAnsi="Cambria"/>
          <w:i/>
          <w:iCs/>
          <w:sz w:val="24"/>
          <w:szCs w:val="24"/>
        </w:rPr>
      </w:pPr>
      <w:r w:rsidRPr="006E16FC">
        <w:rPr>
          <w:rStyle w:val="pt-zadanifontodlomka-000009"/>
          <w:rFonts w:ascii="Cambria" w:hAnsi="Cambria"/>
          <w:i/>
          <w:iCs/>
          <w:sz w:val="24"/>
          <w:szCs w:val="24"/>
        </w:rPr>
        <w:t xml:space="preserve">Izvještaj o </w:t>
      </w:r>
      <w:r>
        <w:rPr>
          <w:rStyle w:val="pt-zadanifontodlomka-000009"/>
          <w:rFonts w:ascii="Cambria" w:hAnsi="Cambria"/>
          <w:i/>
          <w:iCs/>
          <w:sz w:val="24"/>
          <w:szCs w:val="24"/>
        </w:rPr>
        <w:t>stanju potraživanja i dospjelih obveza te o stanju potencijalnih obveza po osnovi sudskih sporova</w:t>
      </w:r>
    </w:p>
    <w:p w14:paraId="6F1F7786" w14:textId="77777777" w:rsidR="00286968" w:rsidRPr="000B625D" w:rsidRDefault="00286968" w:rsidP="000B625D">
      <w:pPr>
        <w:spacing w:line="276" w:lineRule="auto"/>
        <w:jc w:val="center"/>
        <w:rPr>
          <w:rFonts w:ascii="Cambria" w:hAnsi="Cambria"/>
          <w:i/>
          <w:iCs/>
          <w:sz w:val="24"/>
          <w:szCs w:val="24"/>
        </w:rPr>
      </w:pPr>
    </w:p>
    <w:p w14:paraId="62577DD6" w14:textId="34E8A48C" w:rsidR="00910437" w:rsidRDefault="002D45FC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Na kraju izvještajnog razdoblja potraživanja iznose</w:t>
      </w:r>
      <w:r w:rsidR="002607A8">
        <w:rPr>
          <w:rFonts w:ascii="Cambria" w:hAnsi="Cambria" w:cstheme="minorHAnsi"/>
          <w:sz w:val="24"/>
          <w:szCs w:val="24"/>
        </w:rPr>
        <w:t xml:space="preserve"> </w:t>
      </w:r>
      <w:r w:rsidR="00D7404C">
        <w:rPr>
          <w:rFonts w:ascii="Cambria" w:hAnsi="Cambria" w:cstheme="minorHAnsi"/>
          <w:sz w:val="24"/>
          <w:szCs w:val="24"/>
        </w:rPr>
        <w:t>216.958,85</w:t>
      </w:r>
      <w:r>
        <w:rPr>
          <w:rFonts w:ascii="Cambria" w:hAnsi="Cambria" w:cstheme="minorHAnsi"/>
          <w:sz w:val="24"/>
          <w:szCs w:val="24"/>
        </w:rPr>
        <w:t xml:space="preserve"> </w:t>
      </w:r>
      <w:r w:rsidR="00411CCE">
        <w:rPr>
          <w:rFonts w:ascii="Cambria" w:hAnsi="Cambria" w:cstheme="minorHAnsi"/>
          <w:sz w:val="24"/>
          <w:szCs w:val="24"/>
        </w:rPr>
        <w:t>€</w:t>
      </w:r>
      <w:r>
        <w:rPr>
          <w:rFonts w:ascii="Cambria" w:hAnsi="Cambria" w:cstheme="minorHAnsi"/>
          <w:sz w:val="24"/>
          <w:szCs w:val="24"/>
        </w:rPr>
        <w:t xml:space="preserve">, a </w:t>
      </w:r>
      <w:r w:rsidR="00AD103D">
        <w:rPr>
          <w:rFonts w:ascii="Cambria" w:hAnsi="Cambria" w:cstheme="minorHAnsi"/>
          <w:sz w:val="24"/>
          <w:szCs w:val="24"/>
        </w:rPr>
        <w:t>ne</w:t>
      </w:r>
      <w:r>
        <w:rPr>
          <w:rFonts w:ascii="Cambria" w:hAnsi="Cambria" w:cstheme="minorHAnsi"/>
          <w:sz w:val="24"/>
          <w:szCs w:val="24"/>
        </w:rPr>
        <w:t xml:space="preserve">dospjele obveze </w:t>
      </w:r>
      <w:r w:rsidR="00D7404C">
        <w:rPr>
          <w:rFonts w:ascii="Cambria" w:hAnsi="Cambria" w:cstheme="minorHAnsi"/>
          <w:sz w:val="24"/>
          <w:szCs w:val="24"/>
        </w:rPr>
        <w:t>202.534,99</w:t>
      </w:r>
      <w:r>
        <w:rPr>
          <w:rFonts w:ascii="Cambria" w:hAnsi="Cambria" w:cstheme="minorHAnsi"/>
          <w:sz w:val="24"/>
          <w:szCs w:val="24"/>
        </w:rPr>
        <w:t xml:space="preserve"> </w:t>
      </w:r>
      <w:r w:rsidR="00411CCE">
        <w:rPr>
          <w:rFonts w:ascii="Cambria" w:hAnsi="Cambria" w:cstheme="minorHAnsi"/>
          <w:sz w:val="24"/>
          <w:szCs w:val="24"/>
        </w:rPr>
        <w:t>€</w:t>
      </w:r>
      <w:r w:rsidR="00AD103D">
        <w:rPr>
          <w:rFonts w:ascii="Cambria" w:hAnsi="Cambria" w:cstheme="minorHAnsi"/>
          <w:sz w:val="24"/>
          <w:szCs w:val="24"/>
        </w:rPr>
        <w:t xml:space="preserve">. </w:t>
      </w:r>
      <w:r w:rsidR="002B79EA">
        <w:rPr>
          <w:rFonts w:ascii="Cambria" w:hAnsi="Cambria" w:cstheme="minorHAnsi"/>
          <w:sz w:val="24"/>
          <w:szCs w:val="24"/>
        </w:rPr>
        <w:t>Škola nema</w:t>
      </w:r>
      <w:r>
        <w:rPr>
          <w:rFonts w:ascii="Cambria" w:hAnsi="Cambria" w:cstheme="minorHAnsi"/>
          <w:sz w:val="24"/>
          <w:szCs w:val="24"/>
        </w:rPr>
        <w:t xml:space="preserve"> potencijalnih obveza po osnovi sudskih sporova</w:t>
      </w:r>
      <w:r w:rsidR="002B79EA">
        <w:rPr>
          <w:rFonts w:ascii="Cambria" w:hAnsi="Cambria" w:cstheme="minorHAnsi"/>
          <w:sz w:val="24"/>
          <w:szCs w:val="24"/>
        </w:rPr>
        <w:t>.</w:t>
      </w:r>
    </w:p>
    <w:p w14:paraId="7FB98774" w14:textId="0B8E7BE2" w:rsidR="005C6A14" w:rsidRDefault="005C6A14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743341A0" w14:textId="6D697DA0" w:rsidR="005C6A14" w:rsidRDefault="005C6A14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03054F8D" w14:textId="7DC98167" w:rsidR="005C6A14" w:rsidRDefault="005C6A14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36763A91" w14:textId="77777777" w:rsidR="005C6A14" w:rsidRPr="007402BB" w:rsidRDefault="005C6A14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518365E4" w14:textId="77777777" w:rsidR="00910437" w:rsidRPr="007402BB" w:rsidRDefault="00910437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38E8ABED" w14:textId="77777777" w:rsidR="00910437" w:rsidRPr="007402BB" w:rsidRDefault="00910437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  <w:r w:rsidRPr="007402BB">
        <w:rPr>
          <w:rFonts w:ascii="Cambria" w:hAnsi="Cambria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Cambria" w:hAnsi="Cambria" w:cstheme="minorHAnsi"/>
          <w:sz w:val="24"/>
          <w:szCs w:val="24"/>
        </w:rPr>
        <w:t xml:space="preserve">   </w:t>
      </w:r>
      <w:r w:rsidRPr="007402BB">
        <w:rPr>
          <w:rFonts w:ascii="Cambria" w:hAnsi="Cambria" w:cstheme="minorHAnsi"/>
          <w:sz w:val="24"/>
          <w:szCs w:val="24"/>
        </w:rPr>
        <w:t xml:space="preserve"> Ravnatelj:</w:t>
      </w:r>
    </w:p>
    <w:p w14:paraId="5118839B" w14:textId="77777777" w:rsidR="00910437" w:rsidRPr="007402BB" w:rsidRDefault="00910437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347DA95A" w14:textId="3504C009" w:rsidR="00910437" w:rsidRPr="007402BB" w:rsidRDefault="00910437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  <w:r w:rsidRPr="007402BB">
        <w:rPr>
          <w:rFonts w:ascii="Cambria" w:hAnsi="Cambria" w:cstheme="minorHAnsi"/>
          <w:sz w:val="24"/>
          <w:szCs w:val="24"/>
        </w:rPr>
        <w:t xml:space="preserve">                                            </w:t>
      </w:r>
      <w:r>
        <w:rPr>
          <w:rFonts w:ascii="Cambria" w:hAnsi="Cambria" w:cstheme="minorHAnsi"/>
          <w:sz w:val="24"/>
          <w:szCs w:val="24"/>
        </w:rPr>
        <w:t xml:space="preserve">             </w:t>
      </w:r>
      <w:r w:rsidRPr="007402BB">
        <w:rPr>
          <w:rFonts w:ascii="Cambria" w:hAnsi="Cambria" w:cstheme="minorHAnsi"/>
          <w:sz w:val="24"/>
          <w:szCs w:val="24"/>
        </w:rPr>
        <w:t xml:space="preserve"> </w:t>
      </w:r>
      <w:r w:rsidR="005C6A14">
        <w:rPr>
          <w:rFonts w:ascii="Cambria" w:hAnsi="Cambria" w:cstheme="minorHAnsi"/>
          <w:sz w:val="24"/>
          <w:szCs w:val="24"/>
        </w:rPr>
        <w:t xml:space="preserve">         </w:t>
      </w:r>
      <w:r w:rsidRPr="007402BB">
        <w:rPr>
          <w:rFonts w:ascii="Cambria" w:hAnsi="Cambria" w:cstheme="minorHAnsi"/>
          <w:sz w:val="24"/>
          <w:szCs w:val="24"/>
        </w:rPr>
        <w:t xml:space="preserve">                                     </w:t>
      </w:r>
      <w:r>
        <w:rPr>
          <w:rFonts w:ascii="Cambria" w:hAnsi="Cambria" w:cstheme="minorHAnsi"/>
          <w:sz w:val="24"/>
          <w:szCs w:val="24"/>
        </w:rPr>
        <w:t xml:space="preserve">  ____________</w:t>
      </w:r>
      <w:r w:rsidRPr="007402BB">
        <w:rPr>
          <w:rFonts w:ascii="Cambria" w:hAnsi="Cambria" w:cstheme="minorHAnsi"/>
          <w:sz w:val="24"/>
          <w:szCs w:val="24"/>
        </w:rPr>
        <w:t>__________________</w:t>
      </w:r>
      <w:r w:rsidR="00001305">
        <w:rPr>
          <w:rFonts w:ascii="Cambria" w:hAnsi="Cambria" w:cstheme="minorHAnsi"/>
          <w:sz w:val="24"/>
          <w:szCs w:val="24"/>
        </w:rPr>
        <w:t>_</w:t>
      </w:r>
    </w:p>
    <w:p w14:paraId="53D6A594" w14:textId="38B9DFA9" w:rsidR="00910437" w:rsidRPr="007402BB" w:rsidRDefault="00910437" w:rsidP="008B0635">
      <w:pPr>
        <w:spacing w:line="276" w:lineRule="auto"/>
        <w:rPr>
          <w:rFonts w:ascii="Cambria" w:hAnsi="Cambria" w:cstheme="minorHAnsi"/>
          <w:sz w:val="24"/>
          <w:szCs w:val="24"/>
        </w:rPr>
      </w:pPr>
      <w:r w:rsidRPr="007402BB">
        <w:rPr>
          <w:rFonts w:ascii="Cambria" w:hAnsi="Cambria" w:cstheme="minorHAnsi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Cambria" w:hAnsi="Cambria" w:cstheme="minorHAnsi"/>
          <w:sz w:val="24"/>
          <w:szCs w:val="24"/>
        </w:rPr>
        <w:t xml:space="preserve">Ivan Jukić, mag. </w:t>
      </w:r>
      <w:r w:rsidR="00001305">
        <w:rPr>
          <w:rFonts w:ascii="Cambria" w:hAnsi="Cambria" w:cstheme="minorHAnsi"/>
          <w:sz w:val="24"/>
          <w:szCs w:val="24"/>
        </w:rPr>
        <w:t>inf</w:t>
      </w:r>
      <w:r>
        <w:rPr>
          <w:rFonts w:ascii="Cambria" w:hAnsi="Cambria" w:cstheme="minorHAnsi"/>
          <w:sz w:val="24"/>
          <w:szCs w:val="24"/>
        </w:rPr>
        <w:t xml:space="preserve">. et </w:t>
      </w:r>
      <w:r w:rsidR="00001305">
        <w:rPr>
          <w:rFonts w:ascii="Cambria" w:hAnsi="Cambria" w:cstheme="minorHAnsi"/>
          <w:sz w:val="24"/>
          <w:szCs w:val="24"/>
        </w:rPr>
        <w:t>math</w:t>
      </w:r>
      <w:r>
        <w:rPr>
          <w:rFonts w:ascii="Cambria" w:hAnsi="Cambria" w:cstheme="minorHAnsi"/>
          <w:sz w:val="24"/>
          <w:szCs w:val="24"/>
        </w:rPr>
        <w:t>.</w:t>
      </w:r>
    </w:p>
    <w:p w14:paraId="29AB2546" w14:textId="77777777" w:rsidR="00910437" w:rsidRPr="00910437" w:rsidRDefault="00910437" w:rsidP="008B0635">
      <w:pPr>
        <w:spacing w:line="276" w:lineRule="auto"/>
      </w:pPr>
    </w:p>
    <w:sectPr w:rsidR="00910437" w:rsidRPr="0091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A2623"/>
    <w:multiLevelType w:val="hybridMultilevel"/>
    <w:tmpl w:val="78B2D3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52049"/>
    <w:multiLevelType w:val="hybridMultilevel"/>
    <w:tmpl w:val="14D4647C"/>
    <w:lvl w:ilvl="0" w:tplc="E110C2BA">
      <w:start w:val="5"/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 w15:restartNumberingAfterBreak="0">
    <w:nsid w:val="5FEE67F2"/>
    <w:multiLevelType w:val="hybridMultilevel"/>
    <w:tmpl w:val="5EBCC7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929091">
    <w:abstractNumId w:val="1"/>
  </w:num>
  <w:num w:numId="2" w16cid:durableId="717780581">
    <w:abstractNumId w:val="2"/>
  </w:num>
  <w:num w:numId="3" w16cid:durableId="32952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E2"/>
    <w:rsid w:val="00001305"/>
    <w:rsid w:val="000162E7"/>
    <w:rsid w:val="0003481C"/>
    <w:rsid w:val="0005692C"/>
    <w:rsid w:val="000651CB"/>
    <w:rsid w:val="00076441"/>
    <w:rsid w:val="000B625D"/>
    <w:rsid w:val="000D055F"/>
    <w:rsid w:val="000D44FB"/>
    <w:rsid w:val="000D7154"/>
    <w:rsid w:val="00131165"/>
    <w:rsid w:val="00135DF1"/>
    <w:rsid w:val="00137A2A"/>
    <w:rsid w:val="00163218"/>
    <w:rsid w:val="001638B6"/>
    <w:rsid w:val="00170A29"/>
    <w:rsid w:val="00171242"/>
    <w:rsid w:val="0017143F"/>
    <w:rsid w:val="001727AF"/>
    <w:rsid w:val="001737E3"/>
    <w:rsid w:val="0017590B"/>
    <w:rsid w:val="00180FB1"/>
    <w:rsid w:val="0019278B"/>
    <w:rsid w:val="001A6F91"/>
    <w:rsid w:val="001B57B2"/>
    <w:rsid w:val="001C3D84"/>
    <w:rsid w:val="001D2D99"/>
    <w:rsid w:val="001D5DF3"/>
    <w:rsid w:val="001E06A8"/>
    <w:rsid w:val="001E5501"/>
    <w:rsid w:val="001F17C2"/>
    <w:rsid w:val="00207E8F"/>
    <w:rsid w:val="002239CC"/>
    <w:rsid w:val="002256C7"/>
    <w:rsid w:val="0026034A"/>
    <w:rsid w:val="002607A8"/>
    <w:rsid w:val="00264F2E"/>
    <w:rsid w:val="002653DC"/>
    <w:rsid w:val="00271190"/>
    <w:rsid w:val="00276ED0"/>
    <w:rsid w:val="00286968"/>
    <w:rsid w:val="00292D81"/>
    <w:rsid w:val="00297B02"/>
    <w:rsid w:val="002A693D"/>
    <w:rsid w:val="002B6D33"/>
    <w:rsid w:val="002B79EA"/>
    <w:rsid w:val="002C4BAE"/>
    <w:rsid w:val="002D45FC"/>
    <w:rsid w:val="002F0206"/>
    <w:rsid w:val="00307545"/>
    <w:rsid w:val="003133FC"/>
    <w:rsid w:val="003160E4"/>
    <w:rsid w:val="003747B2"/>
    <w:rsid w:val="003A4EBD"/>
    <w:rsid w:val="003B1E7B"/>
    <w:rsid w:val="003C05DE"/>
    <w:rsid w:val="003E0726"/>
    <w:rsid w:val="00411CCE"/>
    <w:rsid w:val="004300BD"/>
    <w:rsid w:val="00486F84"/>
    <w:rsid w:val="004942E2"/>
    <w:rsid w:val="0049731A"/>
    <w:rsid w:val="004B3441"/>
    <w:rsid w:val="004D6D26"/>
    <w:rsid w:val="004F64DB"/>
    <w:rsid w:val="00536414"/>
    <w:rsid w:val="00587183"/>
    <w:rsid w:val="005A0D92"/>
    <w:rsid w:val="005A4696"/>
    <w:rsid w:val="005C6A14"/>
    <w:rsid w:val="005C6B31"/>
    <w:rsid w:val="005C76A2"/>
    <w:rsid w:val="005E0503"/>
    <w:rsid w:val="00607C0B"/>
    <w:rsid w:val="0063211F"/>
    <w:rsid w:val="006413CC"/>
    <w:rsid w:val="00647A8D"/>
    <w:rsid w:val="006507EE"/>
    <w:rsid w:val="00654A06"/>
    <w:rsid w:val="006807EE"/>
    <w:rsid w:val="006829BF"/>
    <w:rsid w:val="006B12B3"/>
    <w:rsid w:val="006C28B9"/>
    <w:rsid w:val="006C2D02"/>
    <w:rsid w:val="006E16FC"/>
    <w:rsid w:val="006E4412"/>
    <w:rsid w:val="007048D5"/>
    <w:rsid w:val="007051C1"/>
    <w:rsid w:val="00782919"/>
    <w:rsid w:val="007863F7"/>
    <w:rsid w:val="007958FC"/>
    <w:rsid w:val="00795D01"/>
    <w:rsid w:val="007B7738"/>
    <w:rsid w:val="007F56AC"/>
    <w:rsid w:val="00812D6C"/>
    <w:rsid w:val="00831DAD"/>
    <w:rsid w:val="0085486A"/>
    <w:rsid w:val="00855FFB"/>
    <w:rsid w:val="00867077"/>
    <w:rsid w:val="008744C0"/>
    <w:rsid w:val="00883EAA"/>
    <w:rsid w:val="0088578E"/>
    <w:rsid w:val="008B0635"/>
    <w:rsid w:val="008B0DFD"/>
    <w:rsid w:val="0090576D"/>
    <w:rsid w:val="00910437"/>
    <w:rsid w:val="00914FE1"/>
    <w:rsid w:val="00921FB1"/>
    <w:rsid w:val="009431E4"/>
    <w:rsid w:val="009477EB"/>
    <w:rsid w:val="00947A2C"/>
    <w:rsid w:val="00954ACA"/>
    <w:rsid w:val="00963A96"/>
    <w:rsid w:val="009757F5"/>
    <w:rsid w:val="0098189C"/>
    <w:rsid w:val="009822C4"/>
    <w:rsid w:val="00993EA9"/>
    <w:rsid w:val="009C640D"/>
    <w:rsid w:val="00A10D90"/>
    <w:rsid w:val="00A178E4"/>
    <w:rsid w:val="00A2320F"/>
    <w:rsid w:val="00A54840"/>
    <w:rsid w:val="00A6523F"/>
    <w:rsid w:val="00A802E9"/>
    <w:rsid w:val="00AB549B"/>
    <w:rsid w:val="00AD103D"/>
    <w:rsid w:val="00AE765D"/>
    <w:rsid w:val="00AE79CA"/>
    <w:rsid w:val="00AF493A"/>
    <w:rsid w:val="00B15273"/>
    <w:rsid w:val="00B67BFF"/>
    <w:rsid w:val="00B711F0"/>
    <w:rsid w:val="00B9105B"/>
    <w:rsid w:val="00BB1AB3"/>
    <w:rsid w:val="00BB67D1"/>
    <w:rsid w:val="00BD6352"/>
    <w:rsid w:val="00BE1A3A"/>
    <w:rsid w:val="00C00F4B"/>
    <w:rsid w:val="00C1635E"/>
    <w:rsid w:val="00C51F02"/>
    <w:rsid w:val="00C76942"/>
    <w:rsid w:val="00C8421E"/>
    <w:rsid w:val="00CA70B6"/>
    <w:rsid w:val="00CA70EA"/>
    <w:rsid w:val="00CB1C2F"/>
    <w:rsid w:val="00CC6D5C"/>
    <w:rsid w:val="00D113BB"/>
    <w:rsid w:val="00D43539"/>
    <w:rsid w:val="00D73C81"/>
    <w:rsid w:val="00D7404C"/>
    <w:rsid w:val="00D75CEA"/>
    <w:rsid w:val="00D764C9"/>
    <w:rsid w:val="00D84E66"/>
    <w:rsid w:val="00D93E75"/>
    <w:rsid w:val="00D9657F"/>
    <w:rsid w:val="00DA783C"/>
    <w:rsid w:val="00DC3584"/>
    <w:rsid w:val="00DF7A3D"/>
    <w:rsid w:val="00E01C7F"/>
    <w:rsid w:val="00E31761"/>
    <w:rsid w:val="00E5196D"/>
    <w:rsid w:val="00E966DE"/>
    <w:rsid w:val="00EB0E86"/>
    <w:rsid w:val="00EC4EA9"/>
    <w:rsid w:val="00EC7466"/>
    <w:rsid w:val="00EF781D"/>
    <w:rsid w:val="00F064C0"/>
    <w:rsid w:val="00F354E4"/>
    <w:rsid w:val="00F40179"/>
    <w:rsid w:val="00F4230E"/>
    <w:rsid w:val="00F71AB4"/>
    <w:rsid w:val="00FD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AF08"/>
  <w15:chartTrackingRefBased/>
  <w15:docId w15:val="{80A1393B-D899-43E8-A2C0-31AE4605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2E2"/>
    <w:pPr>
      <w:ind w:left="720"/>
      <w:contextualSpacing/>
    </w:pPr>
  </w:style>
  <w:style w:type="paragraph" w:styleId="Bezproreda">
    <w:name w:val="No Spacing"/>
    <w:uiPriority w:val="1"/>
    <w:qFormat/>
    <w:rsid w:val="004942E2"/>
    <w:pPr>
      <w:spacing w:after="0" w:line="240" w:lineRule="auto"/>
    </w:pPr>
  </w:style>
  <w:style w:type="character" w:customStyle="1" w:styleId="pt-zadanifontodlomka-000006">
    <w:name w:val="pt-zadanifontodlomka-000006"/>
    <w:basedOn w:val="Zadanifontodlomka"/>
    <w:rsid w:val="00E5196D"/>
  </w:style>
  <w:style w:type="character" w:customStyle="1" w:styleId="pt-zadanifontodlomka-000009">
    <w:name w:val="pt-zadanifontodlomka-000009"/>
    <w:basedOn w:val="Zadanifontodlomka"/>
    <w:rsid w:val="0017143F"/>
  </w:style>
  <w:style w:type="character" w:styleId="Tekstrezerviranogmjesta">
    <w:name w:val="Placeholder Text"/>
    <w:basedOn w:val="Zadanifontodlomka"/>
    <w:uiPriority w:val="99"/>
    <w:semiHidden/>
    <w:rsid w:val="002711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Sažetak</a:t>
            </a:r>
            <a:r>
              <a:rPr lang="hr-HR" baseline="0"/>
              <a:t> prihoda i rashoda</a:t>
            </a:r>
            <a:endParaRPr lang="hr-HR"/>
          </a:p>
        </c:rich>
      </c:tx>
      <c:layout>
        <c:manualLayout>
          <c:xMode val="edge"/>
          <c:yMode val="edge"/>
          <c:x val="0.38208333333333333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Izvršenje 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Prihodi</c:v>
                </c:pt>
                <c:pt idx="1">
                  <c:v>Rashodi 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2838051.87</c:v>
                </c:pt>
                <c:pt idx="1">
                  <c:v>2841484.14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1C-4C33-B270-30D73DAEAC83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Rebalans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Prihodi</c:v>
                </c:pt>
                <c:pt idx="1">
                  <c:v>Rashodi </c:v>
                </c:pt>
              </c:strCache>
            </c:strRef>
          </c:cat>
          <c:val>
            <c:numRef>
              <c:f>List1!$C$2:$C$3</c:f>
              <c:numCache>
                <c:formatCode>General</c:formatCode>
                <c:ptCount val="2"/>
                <c:pt idx="0">
                  <c:v>3367438</c:v>
                </c:pt>
                <c:pt idx="1">
                  <c:v>3368938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1C-4C33-B270-30D73DAEAC83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2025.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Prihodi</c:v>
                </c:pt>
                <c:pt idx="1">
                  <c:v>Rashodi </c:v>
                </c:pt>
              </c:strCache>
            </c:strRef>
          </c:cat>
          <c:val>
            <c:numRef>
              <c:f>List1!$D$2:$D$3</c:f>
              <c:numCache>
                <c:formatCode>General</c:formatCode>
                <c:ptCount val="2"/>
                <c:pt idx="0">
                  <c:v>3024527.24</c:v>
                </c:pt>
                <c:pt idx="1">
                  <c:v>3214574.13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1C-4C33-B270-30D73DAEAC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8330256"/>
        <c:axId val="248330584"/>
      </c:barChart>
      <c:catAx>
        <c:axId val="248330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48330584"/>
        <c:crosses val="autoZero"/>
        <c:auto val="1"/>
        <c:lblAlgn val="ctr"/>
        <c:lblOffset val="100"/>
        <c:noMultiLvlLbl val="0"/>
      </c:catAx>
      <c:valAx>
        <c:axId val="248330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48330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 prema ekonomskoj klasifikaciji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12110929530035161"/>
          <c:y val="0.25779808773903262"/>
          <c:w val="0.87889070469964836"/>
          <c:h val="0.582803712035995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Izvršenje 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List1!$A$2:$A$6</c:f>
              <c:strCache>
                <c:ptCount val="5"/>
                <c:pt idx="0">
                  <c:v>63 Pomoći od subjekata  unutar proračun</c:v>
                </c:pt>
                <c:pt idx="1">
                  <c:v>64 Prihodi od imovine</c:v>
                </c:pt>
                <c:pt idx="2">
                  <c:v>65 Prihodi po pos.propisima</c:v>
                </c:pt>
                <c:pt idx="3">
                  <c:v>66 Prihodi od prodaje proiz. i usluga</c:v>
                </c:pt>
                <c:pt idx="4">
                  <c:v>67 Prihodi iz nadlež.proračuna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2527887.27</c:v>
                </c:pt>
                <c:pt idx="1">
                  <c:v>0</c:v>
                </c:pt>
                <c:pt idx="2">
                  <c:v>53974.77</c:v>
                </c:pt>
                <c:pt idx="3">
                  <c:v>11957.6</c:v>
                </c:pt>
                <c:pt idx="4">
                  <c:v>244232.23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54-435A-9EF5-96AEBFC0E51F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Rebalans 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List1!$A$2:$A$6</c:f>
              <c:strCache>
                <c:ptCount val="5"/>
                <c:pt idx="0">
                  <c:v>63 Pomoći od subjekata  unutar proračun</c:v>
                </c:pt>
                <c:pt idx="1">
                  <c:v>64 Prihodi od imovine</c:v>
                </c:pt>
                <c:pt idx="2">
                  <c:v>65 Prihodi po pos.propisima</c:v>
                </c:pt>
                <c:pt idx="3">
                  <c:v>66 Prihodi od prodaje proiz. i usluga</c:v>
                </c:pt>
                <c:pt idx="4">
                  <c:v>67 Prihodi iz nadlež.proračuna</c:v>
                </c:pt>
              </c:strCache>
            </c:strRef>
          </c:cat>
          <c:val>
            <c:numRef>
              <c:f>List1!$C$2:$C$6</c:f>
              <c:numCache>
                <c:formatCode>General</c:formatCode>
                <c:ptCount val="5"/>
                <c:pt idx="0">
                  <c:v>2956200</c:v>
                </c:pt>
                <c:pt idx="1">
                  <c:v>2</c:v>
                </c:pt>
                <c:pt idx="2">
                  <c:v>59405</c:v>
                </c:pt>
                <c:pt idx="3">
                  <c:v>11998</c:v>
                </c:pt>
                <c:pt idx="4">
                  <c:v>339833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54-435A-9EF5-96AEBFC0E51F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2025.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List1!$A$2:$A$6</c:f>
              <c:strCache>
                <c:ptCount val="5"/>
                <c:pt idx="0">
                  <c:v>63 Pomoći od subjekata  unutar proračun</c:v>
                </c:pt>
                <c:pt idx="1">
                  <c:v>64 Prihodi od imovine</c:v>
                </c:pt>
                <c:pt idx="2">
                  <c:v>65 Prihodi po pos.propisima</c:v>
                </c:pt>
                <c:pt idx="3">
                  <c:v>66 Prihodi od prodaje proiz. i usluga</c:v>
                </c:pt>
                <c:pt idx="4">
                  <c:v>67 Prihodi iz nadlež.proračuna</c:v>
                </c:pt>
              </c:strCache>
            </c:strRef>
          </c:cat>
          <c:val>
            <c:numRef>
              <c:f>List1!$D$2:$D$6</c:f>
              <c:numCache>
                <c:formatCode>General</c:formatCode>
                <c:ptCount val="5"/>
                <c:pt idx="0">
                  <c:v>2653418.9500000002</c:v>
                </c:pt>
                <c:pt idx="1">
                  <c:v>0</c:v>
                </c:pt>
                <c:pt idx="2">
                  <c:v>52276</c:v>
                </c:pt>
                <c:pt idx="3">
                  <c:v>12611.55</c:v>
                </c:pt>
                <c:pt idx="4">
                  <c:v>306220.14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54-435A-9EF5-96AEBFC0E5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1995888"/>
        <c:axId val="481994248"/>
      </c:barChart>
      <c:catAx>
        <c:axId val="48199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81994248"/>
        <c:crosses val="autoZero"/>
        <c:auto val="1"/>
        <c:lblAlgn val="ctr"/>
        <c:lblOffset val="100"/>
        <c:noMultiLvlLbl val="0"/>
      </c:catAx>
      <c:valAx>
        <c:axId val="481994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8199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prema ekonomskoj klasifikaciji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Izvršenje 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List1!$A$2:$A$9</c:f>
              <c:strCache>
                <c:ptCount val="8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36 Potpore</c:v>
                </c:pt>
                <c:pt idx="4">
                  <c:v>37 Naknade građanima i kućanstvima</c:v>
                </c:pt>
                <c:pt idx="5">
                  <c:v>38 Donacije i ostali rashodi</c:v>
                </c:pt>
                <c:pt idx="6">
                  <c:v>42 Rashodi za nabavu dug.imovine</c:v>
                </c:pt>
                <c:pt idx="7">
                  <c:v>45 Dodatna ulaganja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2270758.84</c:v>
                </c:pt>
                <c:pt idx="1">
                  <c:v>403442.69</c:v>
                </c:pt>
                <c:pt idx="2">
                  <c:v>5532.58</c:v>
                </c:pt>
                <c:pt idx="3">
                  <c:v>347.24</c:v>
                </c:pt>
                <c:pt idx="4">
                  <c:v>112883.58</c:v>
                </c:pt>
                <c:pt idx="5">
                  <c:v>1346.6</c:v>
                </c:pt>
                <c:pt idx="6">
                  <c:v>47172.61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3F-4BD1-9868-8F00DEAB3BB9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Rebalans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List1!$A$2:$A$9</c:f>
              <c:strCache>
                <c:ptCount val="8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36 Potpore</c:v>
                </c:pt>
                <c:pt idx="4">
                  <c:v>37 Naknade građanima i kućanstvima</c:v>
                </c:pt>
                <c:pt idx="5">
                  <c:v>38 Donacije i ostali rashodi</c:v>
                </c:pt>
                <c:pt idx="6">
                  <c:v>42 Rashodi za nabavu dug.imovine</c:v>
                </c:pt>
                <c:pt idx="7">
                  <c:v>45 Dodatna ulaganja</c:v>
                </c:pt>
              </c:strCache>
            </c:strRef>
          </c:cat>
          <c:val>
            <c:numRef>
              <c:f>List1!$C$2:$C$9</c:f>
              <c:numCache>
                <c:formatCode>General</c:formatCode>
                <c:ptCount val="8"/>
                <c:pt idx="0">
                  <c:v>2705350</c:v>
                </c:pt>
                <c:pt idx="1">
                  <c:v>397019.75</c:v>
                </c:pt>
                <c:pt idx="2">
                  <c:v>1410</c:v>
                </c:pt>
                <c:pt idx="3">
                  <c:v>0</c:v>
                </c:pt>
                <c:pt idx="4">
                  <c:v>118300</c:v>
                </c:pt>
                <c:pt idx="5">
                  <c:v>1400</c:v>
                </c:pt>
                <c:pt idx="6">
                  <c:v>100458.25</c:v>
                </c:pt>
                <c:pt idx="7">
                  <c:v>45000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3F-4BD1-9868-8F00DEAB3BB9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2025.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List1!$A$2:$A$9</c:f>
              <c:strCache>
                <c:ptCount val="8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36 Potpore</c:v>
                </c:pt>
                <c:pt idx="4">
                  <c:v>37 Naknade građanima i kućanstvima</c:v>
                </c:pt>
                <c:pt idx="5">
                  <c:v>38 Donacije i ostali rashodi</c:v>
                </c:pt>
                <c:pt idx="6">
                  <c:v>42 Rashodi za nabavu dug.imovine</c:v>
                </c:pt>
                <c:pt idx="7">
                  <c:v>45 Dodatna ulaganja</c:v>
                </c:pt>
              </c:strCache>
            </c:strRef>
          </c:cat>
          <c:val>
            <c:numRef>
              <c:f>List1!$D$2:$D$9</c:f>
              <c:numCache>
                <c:formatCode>General</c:formatCode>
                <c:ptCount val="8"/>
                <c:pt idx="0">
                  <c:v>2609682.9300000002</c:v>
                </c:pt>
                <c:pt idx="1">
                  <c:v>385207.54</c:v>
                </c:pt>
                <c:pt idx="2">
                  <c:v>1236.5999999999999</c:v>
                </c:pt>
                <c:pt idx="3">
                  <c:v>100</c:v>
                </c:pt>
                <c:pt idx="4">
                  <c:v>114521.48</c:v>
                </c:pt>
                <c:pt idx="5">
                  <c:v>1326.85</c:v>
                </c:pt>
                <c:pt idx="6">
                  <c:v>76913.850000000006</c:v>
                </c:pt>
                <c:pt idx="7">
                  <c:v>25584.880000000001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A3F-4BD1-9868-8F00DEAB3B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1261584"/>
        <c:axId val="371260272"/>
      </c:barChart>
      <c:catAx>
        <c:axId val="37126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71260272"/>
        <c:crosses val="autoZero"/>
        <c:auto val="1"/>
        <c:lblAlgn val="ctr"/>
        <c:lblOffset val="100"/>
        <c:noMultiLvlLbl val="0"/>
      </c:catAx>
      <c:valAx>
        <c:axId val="371260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7126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 prema izvoru financiranja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7.5576698745990087E-2"/>
          <c:y val="0.17857142857142858"/>
          <c:w val="0.89501560825606863"/>
          <c:h val="0.487776568425707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Izvršenje 2024.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List1!$A$2:$A$6</c:f>
              <c:strCache>
                <c:ptCount val="5"/>
                <c:pt idx="0">
                  <c:v>1 Opći prihodi i primici</c:v>
                </c:pt>
                <c:pt idx="1">
                  <c:v>3 Vlastiti prihodi</c:v>
                </c:pt>
                <c:pt idx="2">
                  <c:v>4  Prih. Za posebne namjene</c:v>
                </c:pt>
                <c:pt idx="3">
                  <c:v>5 Pomoći</c:v>
                </c:pt>
                <c:pt idx="4">
                  <c:v>6 Donacije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95279.94</c:v>
                </c:pt>
                <c:pt idx="1">
                  <c:v>9261.61</c:v>
                </c:pt>
                <c:pt idx="2">
                  <c:v>154243.66</c:v>
                </c:pt>
                <c:pt idx="3">
                  <c:v>2576266.56</c:v>
                </c:pt>
                <c:pt idx="4">
                  <c:v>2695.99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E0-4C2E-A5CE-9E37C170891F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Rebalans 2025.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List1!$A$2:$A$6</c:f>
              <c:strCache>
                <c:ptCount val="5"/>
                <c:pt idx="0">
                  <c:v>1 Opći prihodi i primici</c:v>
                </c:pt>
                <c:pt idx="1">
                  <c:v>3 Vlastiti prihodi</c:v>
                </c:pt>
                <c:pt idx="2">
                  <c:v>4  Prih. Za posebne namjene</c:v>
                </c:pt>
                <c:pt idx="3">
                  <c:v>5 Pomoći</c:v>
                </c:pt>
                <c:pt idx="4">
                  <c:v>6 Donacije</c:v>
                </c:pt>
              </c:strCache>
            </c:strRef>
          </c:cat>
          <c:val>
            <c:numRef>
              <c:f>List1!$C$2:$C$6</c:f>
              <c:numCache>
                <c:formatCode>General</c:formatCode>
                <c:ptCount val="5"/>
                <c:pt idx="0">
                  <c:v>178714</c:v>
                </c:pt>
                <c:pt idx="1">
                  <c:v>9700</c:v>
                </c:pt>
                <c:pt idx="2">
                  <c:v>170428</c:v>
                </c:pt>
                <c:pt idx="3">
                  <c:v>3007796</c:v>
                </c:pt>
                <c:pt idx="4">
                  <c:v>2300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E0-4C2E-A5CE-9E37C170891F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2025.</c:v>
                </c:pt>
              </c:strCache>
            </c:strRef>
          </c:tx>
          <c:spPr>
            <a:solidFill>
              <a:schemeClr val="accent3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List1!$A$2:$A$6</c:f>
              <c:strCache>
                <c:ptCount val="5"/>
                <c:pt idx="0">
                  <c:v>1 Opći prihodi i primici</c:v>
                </c:pt>
                <c:pt idx="1">
                  <c:v>3 Vlastiti prihodi</c:v>
                </c:pt>
                <c:pt idx="2">
                  <c:v>4  Prih. Za posebne namjene</c:v>
                </c:pt>
                <c:pt idx="3">
                  <c:v>5 Pomoći</c:v>
                </c:pt>
                <c:pt idx="4">
                  <c:v>6 Donacije</c:v>
                </c:pt>
              </c:strCache>
            </c:strRef>
          </c:cat>
          <c:val>
            <c:numRef>
              <c:f>List1!$D$2:$D$6</c:f>
              <c:numCache>
                <c:formatCode>General</c:formatCode>
                <c:ptCount val="5"/>
                <c:pt idx="0">
                  <c:v>133765.73000000001</c:v>
                </c:pt>
                <c:pt idx="1">
                  <c:v>10225.5</c:v>
                </c:pt>
                <c:pt idx="2">
                  <c:v>174775.17</c:v>
                </c:pt>
                <c:pt idx="3">
                  <c:v>2703374.79</c:v>
                </c:pt>
                <c:pt idx="4">
                  <c:v>2386.0500000000002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E0-4C2E-A5CE-9E37C17089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2067776"/>
        <c:axId val="472068104"/>
      </c:barChart>
      <c:catAx>
        <c:axId val="472067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2068104"/>
        <c:crosses val="autoZero"/>
        <c:auto val="1"/>
        <c:lblAlgn val="ctr"/>
        <c:lblOffset val="100"/>
        <c:noMultiLvlLbl val="0"/>
      </c:catAx>
      <c:valAx>
        <c:axId val="472068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2067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prema</a:t>
            </a:r>
            <a:r>
              <a:rPr lang="hr-HR" baseline="0"/>
              <a:t> izvorima financiranja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Izvršenje 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List1!$A$2:$A$6</c:f>
              <c:strCache>
                <c:ptCount val="5"/>
                <c:pt idx="0">
                  <c:v>1  Opći prihodi i primici</c:v>
                </c:pt>
                <c:pt idx="1">
                  <c:v>3 Vlastiti prihodi</c:v>
                </c:pt>
                <c:pt idx="2">
                  <c:v>4 Prihodi za posebne namjene</c:v>
                </c:pt>
                <c:pt idx="3">
                  <c:v>5 Pomoći</c:v>
                </c:pt>
                <c:pt idx="4">
                  <c:v>6 Donacije</c:v>
                </c:pt>
              </c:strCache>
            </c:strRef>
          </c:cat>
          <c:val>
            <c:numRef>
              <c:f>List1!$B$2:$B$6</c:f>
              <c:numCache>
                <c:formatCode>#,##0.00</c:formatCode>
                <c:ptCount val="5"/>
                <c:pt idx="0" formatCode="General">
                  <c:v>95279.94</c:v>
                </c:pt>
                <c:pt idx="1">
                  <c:v>9261.61</c:v>
                </c:pt>
                <c:pt idx="2">
                  <c:v>153169.13</c:v>
                </c:pt>
                <c:pt idx="3">
                  <c:v>2581077.4700000002</c:v>
                </c:pt>
                <c:pt idx="4">
                  <c:v>2695.99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D4-4068-8D07-5786DD058D25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Rebalans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List1!$A$2:$A$6</c:f>
              <c:strCache>
                <c:ptCount val="5"/>
                <c:pt idx="0">
                  <c:v>1  Opći prihodi i primici</c:v>
                </c:pt>
                <c:pt idx="1">
                  <c:v>3 Vlastiti prihodi</c:v>
                </c:pt>
                <c:pt idx="2">
                  <c:v>4 Prihodi za posebne namjene</c:v>
                </c:pt>
                <c:pt idx="3">
                  <c:v>5 Pomoći</c:v>
                </c:pt>
                <c:pt idx="4">
                  <c:v>6 Donacije</c:v>
                </c:pt>
              </c:strCache>
            </c:strRef>
          </c:cat>
          <c:val>
            <c:numRef>
              <c:f>List1!$C$2:$C$6</c:f>
              <c:numCache>
                <c:formatCode>#,##0.00</c:formatCode>
                <c:ptCount val="5"/>
                <c:pt idx="0" formatCode="General">
                  <c:v>178714</c:v>
                </c:pt>
                <c:pt idx="1">
                  <c:v>9700</c:v>
                </c:pt>
                <c:pt idx="2">
                  <c:v>170428</c:v>
                </c:pt>
                <c:pt idx="3">
                  <c:v>3007796</c:v>
                </c:pt>
                <c:pt idx="4">
                  <c:v>2300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D4-4068-8D07-5786DD058D25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2025.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List1!$A$2:$A$6</c:f>
              <c:strCache>
                <c:ptCount val="5"/>
                <c:pt idx="0">
                  <c:v>1  Opći prihodi i primici</c:v>
                </c:pt>
                <c:pt idx="1">
                  <c:v>3 Vlastiti prihodi</c:v>
                </c:pt>
                <c:pt idx="2">
                  <c:v>4 Prihodi za posebne namjene</c:v>
                </c:pt>
                <c:pt idx="3">
                  <c:v>5 Pomoći</c:v>
                </c:pt>
                <c:pt idx="4">
                  <c:v>6 Donacije</c:v>
                </c:pt>
              </c:strCache>
            </c:strRef>
          </c:cat>
          <c:val>
            <c:numRef>
              <c:f>List1!$D$2:$D$6</c:f>
              <c:numCache>
                <c:formatCode>#,##0.00</c:formatCode>
                <c:ptCount val="5"/>
                <c:pt idx="0" formatCode="General">
                  <c:v>146323.21</c:v>
                </c:pt>
                <c:pt idx="1">
                  <c:v>10225.5</c:v>
                </c:pt>
                <c:pt idx="2">
                  <c:v>162452.32999999999</c:v>
                </c:pt>
                <c:pt idx="3">
                  <c:v>2893186.74</c:v>
                </c:pt>
                <c:pt idx="4">
                  <c:v>2386.35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D4-4068-8D07-5786DD058D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82440528"/>
        <c:axId val="482441840"/>
      </c:barChart>
      <c:catAx>
        <c:axId val="48244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82441840"/>
        <c:crosses val="autoZero"/>
        <c:auto val="1"/>
        <c:lblAlgn val="ctr"/>
        <c:lblOffset val="100"/>
        <c:noMultiLvlLbl val="0"/>
      </c:catAx>
      <c:valAx>
        <c:axId val="482441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8244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10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Paj</dc:creator>
  <cp:keywords/>
  <dc:description/>
  <cp:lastModifiedBy>Marina Paj</cp:lastModifiedBy>
  <cp:revision>27</cp:revision>
  <dcterms:created xsi:type="dcterms:W3CDTF">2026-01-23T21:43:00Z</dcterms:created>
  <dcterms:modified xsi:type="dcterms:W3CDTF">2026-02-26T11:13:00Z</dcterms:modified>
</cp:coreProperties>
</file>